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tục đăng ký dự kiểm tra nghiệp vụ giám định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Cá nhân đăng ký dự kiểm tra nghiệp vụ giám định sở hữu công nghiệp nộp 01 bộ hồ sơ đăng ký dự kiểm tra cho Ủy ban nhân dân cấp tỉnh.
Bước 2: Xử lý hồ sơ
Hồ sơ đăng ký dự kiểm tra được Ủy ban nhân dân cấp tỉnh xử lý trong thời hạn 20 ngày kể từ ngày nhận hồ sơ theo trình tự như sau:
- Trường hợp hồ sơ có đủ các tài liệu theo quy định và người đăng ký đáp ứng đủ điều kiện tham dự kiểm tra, Ủy ban nhân dân cấp tỉnh ra thông báo chấp nhận hồ sơ, trong đó nêu rõ kế hoạch kiểm tra;
- Trường hợp hồ sơ không hợp lệ thiếu sót hoặc người đăng ký không đáp ứng đủ điều kiện tham dự kiểm tra, Ủy ban nhân dân cấp ra thông báo dự định từ chối chấp nhận hồ sơ trong đó nêu rõ lý do và ấn định thời hạn 30 ngày để người đăng ký sửa chữa hoặc có ý kiến phản đối.; 
- Trường hợp người nộp hồ sơ không sửa chữa thiếu sót hoặc sửa chữa thiếu sót không đạt yêu cầu, không có ý kiến phản đối hoặc ý kiến phản đối không xác đáng, Ủy ban nhân dân cấp tỉnh ra quyết định từ chối chấp nhận hồ sơ, trong đó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150000 Đồng</w:t>
              <w:t xml:space="preserve"> (Phí phúc tra kết quả kiểm tra nghiệp vụ giám định sở hữu công nghiệp (mỗi môn):)</w:t>
            </w:r>
          </w:p>
          <w:p>
            <w:pPr>
              <w:spacing w:after="0" w:before="0" w:lineRule="auto" w:line="276"/>
              <w:jc w:val="left"/>
            </w:pPr>
            <w:r>
              <w:rPr>
                <w:rFonts w:ascii="Times New Roman" w:hAnsi="Times New Roman" w:cs="Times New Roman" w:eastAsia="Times New Roman"/>
                <w:b w:val="false"/>
                <w:sz w:val="26"/>
              </w:rPr>
              <w:t>Phí : 300000 Đồng</w:t>
              <w:t xml:space="preserve"> (Phí kiểm tra nghiệp vụ giám định sở hữu công nghiệp (mỗi môn))</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150000 Đồng</w:t>
              <w:t xml:space="preserve"> (Phí phúc tra kết quả kiểm tra nghiệp vụ giám định sở hữu công nghiệp (mỗi môn):)</w:t>
            </w:r>
          </w:p>
          <w:p>
            <w:pPr>
              <w:spacing w:after="0" w:before="0" w:lineRule="auto" w:line="276"/>
              <w:jc w:val="left"/>
            </w:pPr>
            <w:r>
              <w:rPr>
                <w:rFonts w:ascii="Times New Roman" w:hAnsi="Times New Roman" w:cs="Times New Roman" w:eastAsia="Times New Roman"/>
                <w:b w:val="false"/>
                <w:sz w:val="26"/>
              </w:rPr>
              <w:t>Phí : 300000 Đồng</w:t>
              <w:t xml:space="preserve"> (Phí kiểm tra nghiệp vụ giám định sở hữu công nghiệp (mỗi môn))</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150000 Đồng</w:t>
              <w:t xml:space="preserve"> (Phí phúc tra kết quả kiểm tra nghiệp vụ giám định sở hữu công nghiệp (mỗi môn):)</w:t>
            </w:r>
          </w:p>
          <w:p>
            <w:pPr>
              <w:spacing w:after="0" w:before="0" w:lineRule="auto" w:line="276"/>
              <w:jc w:val="left"/>
            </w:pPr>
            <w:r>
              <w:rPr>
                <w:rFonts w:ascii="Times New Roman" w:hAnsi="Times New Roman" w:cs="Times New Roman" w:eastAsia="Times New Roman"/>
                <w:b w:val="false"/>
                <w:sz w:val="26"/>
              </w:rPr>
              <w:t>Phí : 300000 Đồng</w:t>
              <w:t xml:space="preserve"> (Phí kiểm tra nghiệp vụ giám định sở hữu công nghiệp (mỗi môn))</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dự kiểm tra nghiệp vụ giám định sở hữu công nghiệp, theo Mẫu số 17 tại Phụ lục III.2 ban hành kèm theo Nghị định số 133/2025/NĐ-CP</w:t>
            </w:r>
          </w:p>
        </w:tc>
        <w:tc>
          <w:p/>
          <w:p>
            <w:pPr>
              <w:spacing w:after="0" w:before="0" w:lineRule="auto" w:line="276"/>
              <w:jc w:val="left"/>
            </w:pPr>
            <w:r>
              <w:rPr>
                <w:rFonts w:ascii="Times New Roman" w:hAnsi="Times New Roman" w:cs="Times New Roman" w:eastAsia="Times New Roman"/>
                <w:b w:val="false"/>
                <w:sz w:val="26"/>
              </w:rPr>
              <w:t>13-Kdkimtragimnh.docx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Bằng tốt nghiệp trình độ đại học hoặc sau đại học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tuyển dụng hoặc hợp đồng lao động và tài liệu khác chứng minh thực tế hoạt động chuyên môn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3 x 4 (cm);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cơ quan quản lý nhà nước về quyền sở hữu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chấp nhận hồ sơ đăng ký dự kiểm tra nghiệp vụ giám định sở hữu công nghiệp, Quyết định từ chối chấp nhận đơn đơn đăng ký dự kiểm tra nghiệp vụ giám định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công dân Việt Nam, có năng lực hành vi dân sự đầy đủ;
- Thường trú tại Việt Nam;
- Có bằng tốt nghiệp đại học hoặc sau đại học các ngành khoa học tự nhiên hoặc khoa học kỹ thuậtđối với chuyên ngành giám định sáng chế và thiết kế bố trí; có bằng tốt nghiệp đại học hoặc sau đại học ngành bất kỳ đối với các chuyên ngành giám định khác;
- Không bị xử lý vi phạm hành chính do vi phạm pháp luật về sở hữu công nghiệp hoặc về hành vi vi phạm đạo đức nghề nghiệp và không thuộc diện bị truy cứu trách nhiệm hình sự hoặc đã bị kết án mà chưa được xóa án tích;
- Đã trực tiếp làm công tác giải quyết tranh chấp, khiếu nại, thanh tra, kiểm tra, pháp chế, tư vấn pháp luật về sở hữu công nghiệp, nghiên cứu khoa học có chức danh nghiên cứu viên, giảng dạy về sở hữu công nghiệp có chức danh giảng viên từ 05 năm trở lên, hoặc những người đã trực tiếp làm công tác giải thích, hướng dẫn thi hành các quy định pháp luật, xây dựng quy chế, trực tiếp thực hiện hoặc xét duyệt kết quả thẩm định nội dung đơn đăng ký sáng chế (gồm cả giải pháp hữu ích), hoặc đơn đăng ký kiểu dáng công nghiệp, hoặc đơn đăng ký nhãn hiệu hoặc đơn đăng ký chỉ dẫn địa lý (gồm cả tên gọi xuất xứ hàng hoá) tại các cơ quan sở hữu công nghiệp quốc gia hoặc quốc tế từ 05 năm trở lên, hoặc những người đã hành nghề dịch vụ đại diện sở hữu công nghiệp từ 05 năm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2026-05-20T21:14:42Z</dcterms:created>
  <dc:creator>Apache POI</dc:creator>
</cp:coreProperties>
</file>