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dịch vụ giám định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Việc sửa đổi, bổ sung được áp dụng đối với trường hợp tổ chức đã được cấp Giấy chứng nhận đủ điều kiện hoạt động dịch vụ giám định công nghệ bổ sung, mở rộng, thu hẹp lĩnh vực công nghệ đánh giá hoặc thay đổi chuyên gia giám định công nghệ
2.  Tổ chức đăng ký sửa đổi, bổ sung hoạt động dịch vụ giám định công nghệ nộp trực tiếp hoặc gửi qua đường bưu điện 01 bộ hồ sơ đề nghị cấp Giấy chứng nhận đủ điều kiện hoạt động dịch vụ giám định công nghệ tới Ủy ban nhân dân cấp tỉnh theo nơi cư trú (đối với cá nhân) hoặc cấp đăng ký kinh doanh (đối với tổ chức);
3. Trường hợp hồ sơ không đầy đủ theo quy định, trong thời hạn 03 ngày làm việc kể từ ngày nhận được hồ sơ, Ủy ban nhân dân cấp tỉnh có trách nhiệm thông báo bằng văn bản đề nghị tổ chức sửa đổi, bổ sung hồ sơ; 
4. Trong thời hạn 10 ngày làm việc, kể từ ngày nhận được hồ sơ đầy đủ theo quy định, Ủy ban nhân dân cấp tỉnh có trách nhiệm cấp Giấy chứng nhận đủ điều kiện hoạt động dịch vụ giám định công nghệ,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sửa đổi, bổ sung Giấy chứng nhận đủ điều kiện hoạt động dịch vụ giám định công nghệ</w:t>
            </w:r>
          </w:p>
        </w:tc>
        <w:tc>
          <w:p/>
          <w:p>
            <w:pPr>
              <w:spacing w:after="0" w:before="0" w:lineRule="auto" w:line="276"/>
              <w:jc w:val="left"/>
            </w:pPr>
            <w:r>
              <w:rPr>
                <w:rFonts w:ascii="Times New Roman" w:hAnsi="Times New Roman" w:cs="Times New Roman" w:eastAsia="Times New Roman"/>
                <w:b w:val="false"/>
                <w:sz w:val="26"/>
              </w:rPr>
              <w:t>Mauso16_Dondenghi.docx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giám định viên công nghệ bổ sung, sửa đổi của tổ chức và tóm tắt kinh nghiệm hoạt động giám định công nghệ của giám định viên công nghệ bổ sung, sửa đổi</w:t>
            </w:r>
          </w:p>
        </w:tc>
        <w:tc>
          <w:p/>
          <w:p>
            <w:pPr>
              <w:spacing w:after="0" w:before="0" w:lineRule="auto" w:line="276"/>
              <w:jc w:val="left"/>
            </w:pPr>
            <w:r>
              <w:rPr>
                <w:rFonts w:ascii="Times New Roman" w:hAnsi="Times New Roman" w:cs="Times New Roman" w:eastAsia="Times New Roman"/>
                <w:b w:val="false"/>
                <w:sz w:val="26"/>
              </w:rPr>
              <w:t>Mauso17_Danhsach.docx</w:t>
            </w:r>
          </w:p>
          <w:p>
            <w:pPr>
              <w:spacing w:after="0" w:before="0" w:lineRule="auto" w:line="276"/>
              <w:jc w:val="left"/>
            </w:pPr>
            <w:r>
              <w:rPr>
                <w:rFonts w:ascii="Times New Roman" w:hAnsi="Times New Roman" w:cs="Times New Roman" w:eastAsia="Times New Roman"/>
                <w:b w:val="false"/>
                <w:sz w:val="26"/>
              </w:rPr>
              <w:t>Mauso18_Tomtatkinhnghiem.docx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2026-05-20T21:14:25Z</dcterms:created>
  <dc:creator>Apache POI</dc:creator>
</cp:coreProperties>
</file>