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bổ sung, sửa đổi Giấy chứng nhận đăng ký hoạt động chứng nhận sản phẩm, hệ thống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đăng ký hoạt động chứng nhận sản phẩm, hệ thống quản lý (gọi tắt là tổ chức chứng nhận) lập 01 bộ hồ sơ đề nghị cấp bổ sung, sửa đổi Giấy chứng nhận đăng ký hoạt động chứng nhận gửi đến Ủy ban nhân dân cấp tỉnh.
Bước 2: Ủy ban nhân dân cấp tỉnh tiếp nhận hồ sơ, xem xét, thẩm định theo quy định:
a) Trường hợp hồ sơ không đầy đủ theo quy định, trong thời hạn 05 ngày làm việc, kể từ ngày nhận được hồ sơ, cơ quan tiếp nhận hồ sơ thông báo bằng văn bản yêu cầu tổ chức chứng nhận sửa đổi, bổ sung; 
b) Trường hợp hồ sơ đầy đủ và hợp lệ, trong thời hạn 10 ngày làm việc, kể từ khi nhận được hồ sơ, Chủ tịch Ủy ban nhân dân cấp tỉnh chịu trách nhiệm cấp Giấy chứng nhận cho tổ chức chứng nhận theo Mẫu số 10, Phụ lục V.1, Nghị định số 133/2025/NĐ-CP.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chứng chỉ, tài liệu liên quan đối với mỗi chuyên gia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tuyển dụng hoặc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bằng cấp (có trình độ tốt nghiệp đại học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hoàn thành khóa đào tạo về kỹ năng đánh giá chứng nhận tương ứng tại cơ sở đào tạo do Bộ Khoa học và Công nghệ công bố hoặc thừa nhận theo quy định của pháp luật (đối với chứng chỉ hoàn thành khóa đào tạo về kỹ năng đánh giá chứng nhận tương ứng tại cơ sở đào tạo ở nước ngoài là bản dịch sang tiếng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Tóm tắt kinh nghiệm hoạt động đánh giá theo Mẫu số 05,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Mudanhschchuyngia.docx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kinh nghiệm hoạt động đánh giá của chuyên gia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hoàn thành khóa đào tạo về kỹ thuật chứng nhận sản phẩm chuyên ngành theo quy định của pháp luật chuyên ngành trong trường hợp có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chứng nhận chưa được công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năng lực chứng nhận phù hợp với các yêu cầu của tiêu chuẩn quốc gia TCVN ISO/IEC 17065 hoặc tiêu chuẩn quốc tế ISO/IEC 17065 (đối với tổ chức chứng nhận sản phẩm), tiêu chuẩn quốc gia TCVN ISO/IEC 17021 hoặc tiêu chuần quốc tế ISO/ЛЕС 17021 (đối với tổ chức chứng nhận hệ thống quản lý) đối với phạm vì chưa được công nhận theo Mẫu số 09, Phụ lục V.1, Phụ lục Nghị định số 133/2025/NĐ-CP.</w:t>
            </w:r>
          </w:p>
        </w:tc>
        <w:tc>
          <w:p/>
          <w:p>
            <w:pPr>
              <w:spacing w:after="0" w:before="0" w:lineRule="auto" w:line="276"/>
              <w:jc w:val="left"/>
            </w:pPr>
            <w:r>
              <w:rPr>
                <w:rFonts w:ascii="Times New Roman" w:hAnsi="Times New Roman" w:cs="Times New Roman" w:eastAsia="Times New Roman"/>
                <w:b w:val="false"/>
                <w:sz w:val="26"/>
              </w:rPr>
              <w:t>Mubntcngb.docx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chứng nhận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chứng nhận rộng hơn phạm vi được công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công bố năng lực chứng nhận phù hợp với các yêu cầu của tiêu chuẩn quốc gia TCVN ISO/IEC 17065 hoặc tiêu chuẩn quốc tế ISO/IEC 17065 (đối với tổ chức chứng nhận sản phẩm), tiêu chuẩn quốc gia TCVN ISO/IEC 17021 hoặc tiêu chuần quốc tế ISO/ЛЕС 17021 (đối với tổ chức chứng nhận hệ thống quản lý) đối với phạm vì chưa được công nhận theo Mẫu số 09, Phụ lục V.1, Phụ lục Nghị định số 133/2025/NĐ-CP.</w:t>
            </w:r>
          </w:p>
        </w:tc>
        <w:tc>
          <w:p/>
          <w:p>
            <w:pPr>
              <w:spacing w:after="0" w:before="0" w:lineRule="auto" w:line="276"/>
              <w:jc w:val="left"/>
            </w:pPr>
            <w:r>
              <w:rPr>
                <w:rFonts w:ascii="Times New Roman" w:hAnsi="Times New Roman" w:cs="Times New Roman" w:eastAsia="Times New Roman"/>
                <w:b w:val="false"/>
                <w:sz w:val="26"/>
              </w:rPr>
              <w:t>Mubntcngb.docx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chứng nhận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bổ sung, sửa đổi hoạt động chứng nhận (Mẫu số 07, Phụ lục V.1, Nghị định số 133/2025/NĐ-CP</w:t>
            </w:r>
          </w:p>
        </w:tc>
        <w:tc>
          <w:p/>
          <w:p>
            <w:pPr>
              <w:spacing w:after="0" w:before="0" w:lineRule="auto" w:line="276"/>
              <w:jc w:val="left"/>
            </w:pPr>
            <w:r>
              <w:rPr>
                <w:rFonts w:ascii="Times New Roman" w:hAnsi="Times New Roman" w:cs="Times New Roman" w:eastAsia="Times New Roman"/>
                <w:b w:val="false"/>
                <w:sz w:val="26"/>
              </w:rPr>
              <w:t>nngksaibsung.docx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Giấy chứng nhận và Dấu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chứng nhận đã được cấp Giấy chứng nhận đăng ký lĩnh vực hoạt động chứng nhận còn hiệu lực;
- Có hệ thống quản lý và năng lực hoạt động đối với các lĩnh vực đăng ký sửa đổi, bổ sung đáp ứng các yêu cầu quy định trong tiêu chuẩn quốc gia, tiêu chuẩn quốc tế và hướng dẫn quốc tế cho mỗi loại hình tương ứng sau đây:
+ Tiêu chuẩn quốc gia TCVN ISO/IEC 17065 hoặc tiêu chuẩn quốc tế ISO/IEC 17065 hoặc tiêu chuẩn quốc gia, tiêu chuẩn quốc tế đối với chứng nhận chuyên ngành và các hướng dẫn liên quan của Diễn đàn Công nhận Quốc tế (IAF) hoặc tiêu chuẩn tương ứng với yêu cầu của chương trình chứng nhận đặc thù đối với hoạt động chứng nhận sản phẩm, hàng hoá;
+ Tiêu chuẩn quốc gia TCVN ISO/IEC 17021-1 hoặc tiêu chuẩn quốc tế ISO/IEC 17021-1 và các hướng dẫn liên quan của Diễn đàn Công nhận Quốc tế (IAF) hoặc tiêu chuẩn tương ứng với yêu cầu của chương trình chứng nhận đặc thù đối với hoạt động chứng nhận hệ thống quản lý.
- Có ít nhất 02 chuyên gia đánh giá chính thức của tổ chức (viên chức hoặc lao động ký hợp đồng có thời hạn từ 12 tháng trở lên hoặc lao động ký hợp đồng không xác định thời hạn) tương ứng với mỗi lĩnh vực chứng nhận đăng ký bổ sung, đáp ứng điều kiện:
+ Có trình độ tốt nghiệp đại học trở lên;
+ Được đào tạo và cấp chứng chỉ hoàn thành khóa đào tạo về kỹ năng đánh giá chứng nhận tương ứng tại cơ sở đào tạo do Bộ Khoa học và Công nghệ công bố hoặc thừa nhận theo quy định của pháp luật;
+ Được đào tạo và cấp chứng chỉ hoàn thành khóa đào tạo về kỹ thuật chứng nhận sản phẩm chuyên ngành theo quy định của pháp luật chuyên ngành trong trường hợp có quy định;
+ Có kinh nghiệm đánh giá ít nhất 20 ngày công đánh giá đối với chương trình chứng nhận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2026-05-20T21:13:30Z</dcterms:created>
  <dc:creator>Apache POI</dc:creator>
</cp:coreProperties>
</file>