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hoạt động dịch vụ giám định công nghệ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Việc cấp lại áp dụng đối với trường hợp tổ chức đã được cấp Giấy chứng nhận đủ điều kiện hoạt động giám định công nghệ bị mất, hư hỏng Giấy chứng nhận hoặc thay đổi tên, địa chỉ của tổ chức;
2. Trong thời hạn 05 ngày làm việc kể từ ngày nhận đủ hồ sơ theo quy định, Ủy ban nhân dân cấp tỉnh cấp lại Giấy chứng nhận theo Mẫu số 20 cho tổ chức, trường hợp không đáp ứng yêu cầu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cấp lại Giấy chứng nhận đủ điều kiện hoạt động dịch vụ giám định công nghệ</w:t>
            </w:r>
          </w:p>
        </w:tc>
        <w:tc>
          <w:p/>
          <w:p>
            <w:pPr>
              <w:spacing w:after="0" w:before="0" w:lineRule="auto" w:line="276"/>
              <w:jc w:val="left"/>
            </w:pPr>
            <w:r>
              <w:rPr>
                <w:rFonts w:ascii="Times New Roman" w:hAnsi="Times New Roman" w:cs="Times New Roman" w:eastAsia="Times New Roman"/>
                <w:b w:val="false"/>
                <w:sz w:val="26"/>
              </w:rPr>
              <w:t>Mauso19-Dondenghi.docx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bị hư hỏng (nếu có) đối với trường hợp Giấy chứng nhận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dịch vụ giám định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2026-05-20T21:15:14Z</dcterms:created>
  <dc:creator>Apache POI</dc:creator>
</cp:coreProperties>
</file>