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công nhận tổ chức đủ điều kiện đào tạo, cấp chứng chỉ vô tuyến điện viên hàng 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nộp 01 bộ hồ sơ đề nghị cấp đổi giấy công nhận tổ chức đủ điều kiện đào tạo, cấp chứng chỉ vô tuyến điện viên hàng hải đến Trung tâm Phục vụ hành chính công cấp tỉnh (Ủy ban nhân dân cấp tỉnh).
2. Ủy ban nhân dân cấp tỉnh tiếp nhận, kiểm tra tính hợp lệ của hồ sơ. Trường hợp hồ sơ chưa đầy đủ, chưa đúng quy định về thành phần hồ sơ thì trong thời hạn 05 ngày làm việc kể từ ngày nhận được hồ sơ, Ủy ban nhân dân cấp tỉnh thông báo, hướng dẫn tổ chức bổ sung, hoàn thiện hồ sơ.
3. Trong thời hạn 10 ngày kể từ ngày nhận đủ hồ sơ hợp lệ, Ủy ban nhân dân cấp tỉnh cấp đổi giấy công nhận tổ chức đủ điều kiện đào tạo, cấp chứng chỉ vô tuyến điện viên hàng hải theo Mẫu 09 Phụ lục II.5 ban hành kèm theo Nghị định số 133/2025/NĐ-CP hoặc từ chối cấp đổi giấy công nhận tổ chức đủ điều kiện đào tạo, cấp chứng chỉ vô tuyến điện viên hàng hải và nêu rõ lý do.
4. Kết quả giải quyết hồ sơ đề nghị cấp đổi giấy công nhận tổ chức đủ điều kiện đào tạo, cấp chứng chỉ vô tuyến điện hàng hải được gửi tới tổ chức qua một trong các phương thức sau: trả kết quả qua đường bưu chính hoặc trả trực tiếp tại Ủy ban nhân dân cấp tỉnh hoặc trả theo hình thức trực tuyến tại Cổng dịch vụ công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đổi giấy công nhận tổ chức đủ điều kiện đào tạo, cấp chứng chỉ vô tuyến điện hàng hải theo Mẫu 10 Phụ lục II.5 ban hành kèm theo Nghị định số 133/2025/NĐ-CP.</w:t>
            </w:r>
          </w:p>
        </w:tc>
        <w:tc>
          <w:p/>
          <w:p>
            <w:pPr>
              <w:spacing w:after="0" w:before="0" w:lineRule="auto" w:line="276"/>
              <w:jc w:val="left"/>
            </w:pPr>
            <w:r>
              <w:rPr>
                <w:rFonts w:ascii="Times New Roman" w:hAnsi="Times New Roman" w:cs="Times New Roman" w:eastAsia="Times New Roman"/>
                <w:b w:val="false"/>
                <w:sz w:val="26"/>
              </w:rPr>
              <w:t>Mu10.docx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tổ chức đủ điều kiện đào tạo, cấp chứng chỉ vô tuyến điện nghiệp hàng hải (Mẫu 09 Phụ lục II.5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01/2014/TT-BKHCN</w:t>
            </w:r>
          </w:p>
        </w:tc>
        <w:tc>
          <w:p/>
          <w:p>
            <w:pPr>
              <w:spacing w:after="0" w:before="0" w:lineRule="auto" w:line="276"/>
              <w:jc w:val="left"/>
            </w:pPr>
            <w:r>
              <w:rPr>
                <w:rFonts w:ascii="Times New Roman" w:hAnsi="Times New Roman" w:cs="Times New Roman" w:eastAsia="Times New Roman"/>
                <w:b w:val="false"/>
                <w:sz w:val="26"/>
              </w:rPr>
              <w:t>01/2014/Thông tư số 01/2014/TT-BKHCNCN</w:t>
            </w:r>
          </w:p>
        </w:tc>
        <w:tc>
          <w:p/>
          <w:p>
            <w:pPr>
              <w:spacing w:after="0" w:before="0" w:lineRule="auto" w:line="276"/>
              <w:jc w:val="left"/>
            </w:pPr>
            <w:r>
              <w:rPr>
                <w:rFonts w:ascii="Times New Roman" w:hAnsi="Times New Roman" w:cs="Times New Roman" w:eastAsia="Times New Roman"/>
                <w:b w:val="false"/>
                <w:sz w:val="26"/>
              </w:rPr>
              <w:t>18-02-2014</w:t>
            </w:r>
          </w:p>
        </w:tc>
        <w:tc>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2026-05-20T21:20:46Z</dcterms:created>
  <dc:creator>Apache POI</dc:creator>
</cp:coreProperties>
</file>