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Giấy chứng nhận đủ điều kiện hoạt động dịch vụ giám định công nghệ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đăng ký hoạt động dịch vụ giám định công nghệ nộp trực tiếp hoặc gửi qua đường bưu điện 01 bộ hồ sơ đề nghị cấp Giấy chứng nhận đủ điều kiện hoạt động dịch vụ giám định công nghệ đến Trung tâm Phục vụ hành chính công cấp tỉnh (Ủy ban nhân dân cấp tỉnh theo nơi cư trú (đối với cá nhân) hoặc cấp đăng ký kinh doanh (đối với tổ chức));
2. Trường hợp hồ sơ không đầy đủ theo quy định, trong thời hạn 03 ngày làm việc kể từ ngày nhận được hồ sơ, Ủy ban nhân dân cấp tỉnh có trách nhiệm thông báo bằng văn bản đề nghị tổ chức sửa đổi, bổ sung hồ sơ;
3. Trong thời hạn 10 ngày làm việc, kể từ ngày nhận được hồ sơ đầy đủ theo quy định, Ủy ban nhân dân cấp tỉnh có trách nhiệm cấp Giấy chứng nhận đủ điều kiện hoạt động dịch vụ giám định công nghệ,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hoạt động dịch vụ giám định công nghệ</w:t>
            </w:r>
          </w:p>
        </w:tc>
        <w:tc>
          <w:p/>
          <w:p>
            <w:pPr>
              <w:spacing w:after="0" w:before="0" w:lineRule="auto" w:line="276"/>
              <w:jc w:val="left"/>
            </w:pPr>
            <w:r>
              <w:rPr>
                <w:rFonts w:ascii="Times New Roman" w:hAnsi="Times New Roman" w:cs="Times New Roman" w:eastAsia="Times New Roman"/>
                <w:b w:val="false"/>
                <w:sz w:val="26"/>
              </w:rPr>
              <w:t>Mau13_Dondenghi.docx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hoạt động giám định đáp ứng các yêu cầu quy định tại khoản 2 Điều 36 Nghị định số 76/2018/NĐ-CP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giám định viên công nghệ của tổ chức và tóm tắt kinh nghiệm hoạt động giám định công nghệ của giám định viên công nghệ</w:t>
            </w:r>
          </w:p>
        </w:tc>
        <w:tc>
          <w:p/>
          <w:p>
            <w:pPr>
              <w:spacing w:after="0" w:before="0" w:lineRule="auto" w:line="276"/>
              <w:jc w:val="left"/>
            </w:pPr>
            <w:r>
              <w:rPr>
                <w:rFonts w:ascii="Times New Roman" w:hAnsi="Times New Roman" w:cs="Times New Roman" w:eastAsia="Times New Roman"/>
                <w:b w:val="false"/>
                <w:sz w:val="26"/>
              </w:rPr>
              <w:t>Mau15_Tomtatkinnghiem.docx</w:t>
            </w:r>
          </w:p>
          <w:p>
            <w:pPr>
              <w:spacing w:after="0" w:before="0" w:lineRule="auto" w:line="276"/>
              <w:jc w:val="left"/>
            </w:pPr>
            <w:r>
              <w:rPr>
                <w:rFonts w:ascii="Times New Roman" w:hAnsi="Times New Roman" w:cs="Times New Roman" w:eastAsia="Times New Roman"/>
                <w:b w:val="false"/>
                <w:sz w:val="26"/>
              </w:rPr>
              <w:t>Mau14_Danhsach.docx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thuyết minh phương pháp, quy trình giám định công nghệ tương ứng với từng lĩnh vực công nghệ cần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chứng thư giám định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giấy chứng nhận đăng ký doanh nghiệp hoặc giấy chứng nhận đăng ký đầu tư (nộp bản sao có chứng thực hoặc bản sao kèm theo bản gốc để đối chiếu trong trường hợp nộp trực tiếp; hoặc bản sao có chứng thực trong trường hợp qua dịch vụ bưu chính).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sơvà nêu rõ lý do. Thời gian yêu cầu và bổ sung hồ sơ không tính vào thời hạn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dịch vụ giám định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Được thành lập, đăng ký hoạt động theo quy định của pháp luật;
2. Có hệ thống quản lý và năng lực hoạt động đáp ứng các yêu cầu quy định trong tiêu chuẩn quốc gia TCVN ISO/IEC 17020:2012 hoặc tiêu chuẩn quốc tế ISO/IEC 17020:2012 hoặc tiêu chuẩn quốc gia, tiêu chuẩn quốc tế đối với giám định chuyên ngành.
3. Có ít nhất 02 giám định viên chính thức trong lĩnh vực công nghệ giám định của tổ chức (viên chức hoặc lao động ký hợp đồng có thời hạn từ 12 tháng trở lên hoặc lao động ký hợp đồng không xác định thời hạn), đáp ứng điều kiện:
a) Tốt nghiệp đại học trở lên với chuyên ngành đào tạo phù hợp với lĩnh vực công nghệ cần giám định;
b) Được đào tạo về tiêu chuẩn quốc gia TCVN ISO/IEC 17020:2012 hoặc tiêu chuẩn quốc tế ISO/IEC 17020:2012 hoặc tiêu chuẩn quốc gia, tiêu chuẩn quốc tế đối với giám định chuyên ngành;
c) Có kinh nghiệm làm việc từ 02 năm trở lên trong lĩnh vực công nghệ cần giám định.
Trường hợp bổ sung lĩnh vực công nghệ giám định, phải có ít nhất 02 giám định viên trong lĩnh vực công nghệ giám định, đáp ứng điều kiện quy định tại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2026-05-20T21:15:20Z</dcterms:created>
  <dc:creator>Apache POI</dc:creator>
</cp:coreProperties>
</file>