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cung cấp dịch vụ kiểm định, hiệu chuẩn, thử nghiệm (sau đây gọi chung là tổ chức cung cấp dịch vụ) lập 01 bộ hồ sơ đề nghị cấp lại giấy chứng nhận đăng ký gửi tới cơ quan được giao tiếp nhận hồ sơ cấp lại giấy chứng nhận đăng ký tại tỉnh, thành phố nơi đặt trụ sở chính.</w:t>
      </w:r>
    </w:p>
    <w:p>
      <w:pPr>
        <w:spacing w:after="0" w:before="0" w:lineRule="auto" w:line="276"/>
        <w:jc w:val="both"/>
      </w:pPr>
      <w:r>
        <w:rPr>
          <w:rFonts w:ascii="Times New Roman" w:hAnsi="Times New Roman" w:cs="Times New Roman" w:eastAsia="Times New Roman"/>
          <w:b w:val="false"/>
          <w:sz w:val="26"/>
        </w:rPr>
        <w:t>Bước 2: Chủ tịch Ủy ban nhân dân cấp tỉnh chịu trách nhiệm cấp lại giấy chứng nhận đăng ký cung cấp dịch vụ kiểm định, hiệu chuẩn, thử nghiệm phương tiện đo, chuẩn đo lường.
- Trường hợp hồ sơ hợp lệ, trong thời hạn 04 ngày làm việc kể từ ngày nhận được văn bản đề nghị (đối với trường hợp thu hẹp phạm vi hoặc giấy chứng nhận đăng ký được cấp dưới dạng bản giấy bị mất hoặc bị hư hỏng không thể tiếp tục sử dụng) hoặc 05 ngày làm việc kể từ ngày nhận đủ hồ sơ (đối với trường hợp tổ chức đã hoàn thành các biện pháp khắc phục, bổ sung lĩnh vực, mở rộng phạm vi, điều chỉnh thông tin trên giấy chứng nhận đăng ký đã được cấp (sau khi hợp nhất, sáp nhập, đổi tên, chia, tách, chuyển đổi hình thức, thay đổi địa chỉ, địa điểm hoạt động)), Chủ tịch Ủy ban nhân dân cấp tỉnh chịu trách nhiệm cấp lại giấy chứng nhận đăng ký cung cấp dịch vụ kiểm định, hiệu chuẩn, thử nghiệm phương tiện đo, chuẩn đo lường.
- Trường hợp hồ sơ không hợp lệ, trong thời hạn 03 ngày làm việc kể từ ngày nhận được hồ sơ, Chủ tịch Ủy ban nhân dân cấp tỉnh chịu trách nhiệm thông báo bằng văn bản cho tổ chức về lý do từ chối xử lý hồ sơ hoặc những nội dung cần sửa đổi,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+ 04 ngày làm việc đối với trường hợp (1) thu hẹp phạm vi hoặc giấy chứng nhận đăng ký được cấp dưới dạng bản giấy bị mất hoặc bị hư hỏng không thể tiếp tục sử dụng),
+ 05 ngày làm việc đối với các trường hợp: (2) đề nghị cấp lại giấy chứng nhận đăng ký đã bị chấm dứt hiệu lực và tổ chức cung cấp dịch vụ kiểm định, hiệu chuẩn, thử nghiệm đã hoàn thành các biện pháp khắc phục; (3) bổ sung lĩnh vực, mở rộng phạm vi; (4) điều chỉnh thông tin trên giấy chứng nhận đăng ký đã được cấp (sau khi hợp nhất, sáp nhập, đổi tên, chia, tách, chuyển đổi hình thức, thay đổi địa chỉ, địa điểm hoạt động).
- Trường hợp hồ sơ không hợp lệ: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+ 04 ngày làm việc đối với trường hợp (1) thu hẹp phạm vi hoặc giấy chứng nhận đăng ký được cấp dưới dạng bản giấy bị mất hoặc bị hư hỏng không thể tiếp tục sử dụng),
+ 05 ngày làm việc đối với các trường hợp: (2) đề nghị cấp lại giấy chứng nhận đăng ký đã bị chấm dứt hiệu lực và tổ chức cung cấp dịch vụ kiểm định, hiệu chuẩn, thử nghiệm đã hoàn thành các biện pháp khắc phục; (3) bổ sung lĩnh vực, mở rộng phạm vi; (4) điều chỉnh thông tin trên giấy chứng nhận đăng ký đã được cấp (sau khi hợp nhất, sáp nhập, đổi tên, chia, tách, chuyển đổi hình thức, thay đổi địa chỉ, địa điểm hoạt động).
- Trường hợp hồ sơ không hợp lệ: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+ 04 ngày làm việc đối với trường hợp (1) thu hẹp phạm vi hoặc giấy chứng nhận đăng ký được cấp dưới dạng bản giấy bị mất hoặc bị hư hỏng không thể tiếp tục sử dụng),
+ 05 ngày làm việc đối với các trường hợp: (2) đề nghị cấp lại giấy chứng nhận đăng ký đã bị chấm dứt hiệu lực và tổ chức cung cấp dịch vụ kiểm định, hiệu chuẩn, thử nghiệm đã hoàn thành các biện pháp khắc phục; (3) bổ sung lĩnh vực, mở rộng phạm vi; (4) điều chỉnh thông tin trên giấy chứng nhận đăng ký đã được cấp (sau khi hợp nhất, sáp nhập, đổi tên, chia, tách, chuyển đổi hình thức, thay đổi địa chỉ, địa điểm hoạt động).
- Trường hợp hồ sơ không hợp lệ: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bổ sung lĩnh vực, mở rộng phạm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cung cấp dịch vụ kiểm định, hiệu chuẩn, thử nghiệm phương tiện đo, chuẩn đo lường theo Mẫu số 01 tại Phụ lục ban hành kèm theo Nghị định số 36/2026/NĐ-CP đối với lĩnh vực mở rộng, bổ sung</w:t>
            </w:r>
          </w:p>
        </w:tc>
        <w:tc>
          <w:p/>
          <w:p>
            <w:pPr>
              <w:spacing w:after="0" w:before="0" w:lineRule="auto" w:line="276"/>
              <w:jc w:val="left"/>
            </w:pPr>
            <w:r>
              <w:rPr>
                <w:rFonts w:ascii="Times New Roman" w:hAnsi="Times New Roman" w:cs="Times New Roman" w:eastAsia="Times New Roman"/>
                <w:b w:val="false"/>
                <w:sz w:val="26"/>
              </w:rPr>
              <w:t>Mus01-Nghidinh36.docx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cơ sở vật chất kỹ thuật, nhân lực theo Mẫu số 02 tại Phụ lục ban hành kèm theo Nghị định số 36/2026/NĐ-CP đối với lĩnh vực mở rộng, bổ sung</w:t>
            </w:r>
          </w:p>
        </w:tc>
        <w:tc>
          <w:p/>
          <w:p>
            <w:pPr>
              <w:spacing w:after="0" w:before="0" w:lineRule="auto" w:line="276"/>
              <w:jc w:val="left"/>
            </w:pPr>
            <w:r>
              <w:rPr>
                <w:rFonts w:ascii="Times New Roman" w:hAnsi="Times New Roman" w:cs="Times New Roman" w:eastAsia="Times New Roman"/>
                <w:b w:val="false"/>
                <w:sz w:val="26"/>
              </w:rPr>
              <w:t>Mus02-Nghidinh36.docx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thu hẹp phạm vi hoặc giấy chứng nhận đăng ký được cấp dưới dạng bản giấy bị mất hoặc bị hư hỏng không thể tiếp tục sử dụng,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có nêu rõ lý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điều chỉnh thông tin trên giấy chứng nhận đăng ký đã được cấp (sau khi hợp nhất, sáp nhập, đổi tên, chia, tách, chuyển đổi hình thức, thay đổi địa chỉ, địa điểm hoạt động),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có nêu rõ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cơ sở vật chất kỹ thuật, nhân lực theo Mẫu số 02 tại Phụ lục ban hành kèm theo Nghị định số 36/2026/NĐ-CP</w:t>
            </w:r>
          </w:p>
        </w:tc>
        <w:tc>
          <w:p/>
          <w:p>
            <w:pPr>
              <w:spacing w:after="0" w:before="0" w:lineRule="auto" w:line="276"/>
              <w:jc w:val="left"/>
            </w:pPr>
            <w:r>
              <w:rPr>
                <w:rFonts w:ascii="Times New Roman" w:hAnsi="Times New Roman" w:cs="Times New Roman" w:eastAsia="Times New Roman"/>
                <w:b w:val="false"/>
                <w:sz w:val="26"/>
              </w:rPr>
              <w:t>Mus02-Nghidinh36.docx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xác nhận sao y bản chính của tổ chức đề nghị) hoặc bản sao điện tử các tài liệu, giấy tờ khác có liên quan đến nội dung điều chỉnh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đề nghị cấp lại giấy chứng nhận đăng ký đã bị chấm dứt hiệu lực và tổ chức cung cấp dịch vụ kiểm định, hiệu chuẩn, thử nghiệm đã hoàn thành các biện pháp khắc phục,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được cấp lại giấy chứng nhận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xác nhận sao y bản chính của tổ chức đề nghị) hoặc bản sao điện tử tài liệu, giấy tờ chứng minh đã hoàn thành các biện pháp khắc phục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cung cấp dịch vụ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105/2006/NĐ-CP </w:t>
            </w:r>
          </w:p>
        </w:tc>
        <w:tc>
          <w:p/>
          <w:p>
            <w:pPr>
              <w:spacing w:after="0" w:before="0" w:lineRule="auto" w:line="276"/>
              <w:jc w:val="left"/>
            </w:pPr>
            <w:r>
              <w:rPr>
                <w:rFonts w:ascii="Times New Roman" w:hAnsi="Times New Roman" w:cs="Times New Roman" w:eastAsia="Times New Roman"/>
                <w:b w:val="false"/>
                <w:sz w:val="26"/>
              </w:rPr>
              <w:t>Nghị định 105/2006/NĐ-CP-Quy định chi tiết và hướng dẫn thi hành một số điều của Luật Sở hữu trí tuệ về bảo vệ quyền sở hữu trí tuệ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r>
        <w:tc>
          <w:p/>
          <w:p>
            <w:pPr>
              <w:spacing w:after="0" w:before="0" w:lineRule="auto" w:line="276"/>
              <w:jc w:val="left"/>
            </w:pPr>
            <w:r>
              <w:rPr>
                <w:rFonts w:ascii="Times New Roman" w:hAnsi="Times New Roman" w:cs="Times New Roman" w:eastAsia="Times New Roman"/>
                <w:b w:val="false"/>
                <w:sz w:val="26"/>
              </w:rPr>
              <w:t>Nghị định số 36/2026/NĐ-CP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105/2016/NĐ-CP ngày 01 tháng 7 năm 2016 của Chính phủ quy định về điều kiện hoạt động của tổ chức kiểm định, hiệu chuẩn, thử nghiệm phương tiện đo, chuẩn đo lường được sửa đổi, bổ sung bởi Nghị định số 154/2018/NĐ-CP ngày 09 tháng 11 năm 2018 của Chính phủ và Nghị định số 133/2025/NĐ-CP ngày 12 tháng 6 năm 2025 của Chính phủ 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23-01-2026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trường hợp (1) thu hẹp phạm vi hoặc giấy chứng nhận đăng ký được cấp dưới dạng bản giấy bị mất hoặc bị hư hỏng không thể tiếp tục sử dụng: Tổ chức đã được cấp giấy chứng nhận đăng ký.
b) Đối với trường hợp (2) đề nghị cấp lại giấy chứng nhận đăng ký đã bị chấm dứt hiệu lực: Tổ chức đã hoàn thành các biện pháp khắc phục.
c) Đối với các trường hợp: (3) bổ sung lĩnh vực, mở rộng phạm vi; (4) điều chỉnh thông tin trên giấy chứng nhận đăng ký đã được cấp (sau khi hợp nhất, sáp nhập, đổi tên, chia, tách, chuyển đổi hình thức, thay đổi địa chỉ, địa điểm hoạt động):
- Tổ chức đã được cấp giấy chứng nhận đăng ký.
- Có đủ cơ sở vật chất, kỹ thuật (bao gồm chuẩn đo lường, phương tiện, điều kiện môi trường thực hiện kiểm định, hiệu chuẩn, thử nghiệm) theo yêu cầu của quy trình kiểm định, hiệu chuẩn, thử nghiệm tương ứng do tổ chức công bố áp dụng. Quy trình kiểm định, hiệu chuẩn, thử nghiệm phải phù hợp với hướng dẫn của cơ quan nhà nước về đo lường có thẩm quyền thuộc Bộ Khoa học và Công nghệ hoặc khuyến nghị quốc tế của Tổ chức đo lường pháp định quốc tế, tiêu chuẩn của Ủy ban kỹ thuật điện quốc tế, tiêu chuẩn của Tổ chức tiêu chuẩn hóa quốc tế, tài liệu của nhà sản xuất có liên quan.
- Có ít nhất 01 nhân viên kỹ thuật đáp ứng các yêu cầu sau đây:
+ Là viên chức hoặc người lao động ký kết hợp đồng lao động xác định thời hạn từ đủ 12 tháng trở lên hoặc người lao động ký kết hợp đồng lao động không xác định thời hạn;
+ Tốt nghiệp trung cấp hoặc tương đương trở lên;
+ Có giấy chứng nhận hoàn thành khóa bồi dưỡng, tập huấn chuyên môn, nghiệp vụ kiểm định, hiệu chuẩn, thử nghiệm phương tiện đo, chuẩn đo lường tương ứng theo hướng dẫn của cơ quan nhà nước về đo lường có thẩm quyền thuộc Bộ Khoa học và Công nghệ.
- Đáp ứng các yêu cầu về tính độc lập, khách quan sau đây:
+ Công khai, minh bạch quy trình kiểm định, hiệu chuẩn, thử nghiệm đã công bố áp dụng thông qua một hoặc các hình thức sau: trên trang thông tin điện tử của tổ chức, tại trụ sở chính của tổ chức, tại địa điểm thực hiện hoạt động;
+ Người đứng đầu tổ chức cung cấp dịch vụ kiểm định, hiệu chuẩn, thử nghiệm phải tuân thủ hệ thống quản lý đã thiết lập, quy trình kiểm định, hiệu chuẩn, thử nghiệm đã công bố áp dụng và chịu trách nhiệm về tính chính xác của kết quả kiểm định, hiệu chuẩn, thử nghiệm đã thực hiện;
+ Nhân viên kiểm định, hiệu chuẩn, thử nghiệm phải tuân thủ quy trình kiểm định, hiệu chuẩn, thử nghiệm đã công bố áp dụng và chịu trách nhiệm về tính chính xác của kết quả kiểm định, hiệu chuẩn, thử nghiệm đã thực hiện.
- Đã thiết lập và duy trì hệ thống quản lý phù hợp với Tiêu chuẩn quốc gia TCVN ISO/IEC 17025 đối với hoạt động kiểm định, hiệu chuẩn, thử nghiệm phương tiện đo, chuẩn đo lường.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2026-05-20T21:15:36Z</dcterms:created>
  <dc:creator>Apache POI</dc:creator>
</cp:coreProperties>
</file>