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chuyển giao công nghệ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Sau khi nhận được văn bản chấp thuận của Ủy ban nhân dân cấp tỉnh, tổ chức, cá nhân chuyển giao công nghệ tiến hành ký kết hợp đồng chuyển giao công nghệ. (Trong thời hạn 60 ngày kể từ ngày ký kết hợp đồng chuyển giao công nghệ, bên có nghĩa vụ thực hiện việc đề nghị cấp Giấy phép chuyển giao công nghệ gửi 01 bộ hồ sơ đề nghị cấp Giấy phép chuyển giao công nghệ đến Ủy ban nhân dân cấp tỉnh).
2. Trong thời hạn 05 ngày làm việc kể từ ngày nhận được hồ sơ, Ủy ban nhân dân cấp tỉnh có trách nhiệm xem xét hồ sơ; trường hợp hồ sơ không hợp lệ thì có văn bản đề nghị tổ chức, cá nhân bổ sung hồ sơ theo quy định.
Trong thời hạn 60 ngày kể từ ngày có văn bản yêu cầu, các bên bổ sung hồ sơ theo yêu cầu hoặc có văn bản đề nghị gia hạn thời gian thực hiện. Thời gian gia hạn không quá 60 ngày, hết thời hạn này, nếu các bên không bổ sung hồ sơ theo yêu cầu thì Ủy ban nhân dân cấp tỉnh ra thông báo từ chối cấp Giấy phép chuyển giao công nghệ và trả lại hồ sơ nếu có yêu cầu.
3. Trong thời hạn 15 ngày làm việc kể từ ngày nhận được hồ sơ hợp lệ, Ủy ban nhân dân cấp tỉnh có trách nhiệm thẩm định và cấp Giấy phép chuyển giao công nghệ; trường hợp từ chối cấp Giấy phép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5.000.000 Đồng</w:t>
              <w:t xml:space="preserve"> (Mức thu phí thẩm định hợp đồng chuyển giao công nghệ để cấp Giấy phép chuyển giao công nghệ được tính theo tỷ lệ bằng 0,1% (một phần nghìn) tổng giá trị của hợp đồng chuyển giao công nghệ nhưng tối đa không quá 10 (mười) triệu đồng và tối thiểu không dưới 05 (năm) triệu đồng.)</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5.000.000 Đồng</w:t>
              <w:t xml:space="preserve"> (Mức thu phí thẩm định hợp đồng chuyển giao công nghệ để cấp Giấy phép chuyển giao công nghệ được tính theo tỷ lệ bằng 0,1% (một phần nghìn) tổng giá trị của hợp đồng chuyển giao công nghệ nhưng tối đa không quá 10 (mười) triệu đồng và tối thiểu không dưới 05 (năm) triệu đồng.)</w:t>
            </w:r>
          </w:p>
        </w:tc>
        <w:tc>
          <w:p/>
          <w:p>
            <w:pPr>
              <w:spacing w:after="0" w:before="0" w:lineRule="auto" w:line="276"/>
              <w:jc w:val="left"/>
            </w:pPr>
            <w:r>
              <w:rPr>
                <w:rFonts w:ascii="Times New Roman" w:hAnsi="Times New Roman" w:cs="Times New Roman" w:eastAsia="Times New Roman"/>
                <w:b w:val="false"/>
                <w:sz w:val="26"/>
              </w:rPr>
              <w:t>Nộp trực tuyến tại Cổng dịch vụ công quốc gia (https://dichvucong.gov.vn) hoặc ứng dụng định danh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5.000.000 Đồng</w:t>
              <w:t xml:space="preserve"> (Mức thu phí thẩm định hợp đồng chuyển giao công nghệ để cấp Giấy phép chuyển giao công nghệ được tính theo tỷ lệ bằng 0,1% (một phần nghìn) tổng giá trị của hợp đồng chuyển giao công nghệ nhưng tối đa không quá 10 (mười) triệu đồng và tối thiểu không dưới 05 (năm) triệu đồng.)</w:t>
            </w:r>
          </w:p>
        </w:tc>
        <w:tc>
          <w:p/>
          <w:p>
            <w:pPr>
              <w:spacing w:after="0" w:before="0" w:lineRule="auto" w:line="276"/>
              <w:jc w:val="left"/>
            </w:pPr>
            <w:r>
              <w:rPr>
                <w:rFonts w:ascii="Times New Roman" w:hAnsi="Times New Roman" w:cs="Times New Roman" w:eastAsia="Times New Roman"/>
                <w:b w:val="false"/>
                <w:sz w:val="26"/>
              </w:rPr>
              <w:t>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phép chuyển giao công nghệ, trong đó ghi rõ cam kết trách nhiệm của các bên bảo đảm nội dung hợp đồng tuân thủ các quy định của pháp luật có liên quan</w:t>
            </w:r>
          </w:p>
        </w:tc>
        <w:tc>
          <w:p/>
          <w:p>
            <w:pPr>
              <w:spacing w:after="0" w:before="0" w:lineRule="auto" w:line="276"/>
              <w:jc w:val="left"/>
            </w:pPr>
            <w:r>
              <w:rPr>
                <w:rFonts w:ascii="Times New Roman" w:hAnsi="Times New Roman" w:cs="Times New Roman" w:eastAsia="Times New Roman"/>
                <w:b w:val="false"/>
                <w:sz w:val="26"/>
              </w:rPr>
              <w:t>VBdenghi.docx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về tư cách pháp lý của các bên trong hợp đồng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gốc bằng tiếng Việt hoặc bản sao có chứng thực hợp đồng chuyển giao công nghệ; trường hợp không có hợp đồng bằng tiếng Việt thì phải có bản dịch sang tiếng Việt và được công chứng hoặc chứng thực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Danh mục tài liệu công nghệ, máy móc, thiết bị (nếu có) kèm theo hợp đồng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có chứng thực văn bằng bảo hộ các đối tượng sở hữu trí tuệ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Tiêu chuẩn, chất lượng sản phẩm, dịch vụ do ứng dụng công nghệ chuyển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Giải trình về điều kiện sử dụng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Văn bản thẩm định giá công nghệ được chuyển giao trong trường hợp bên nhận chuyển giao công nghệ sử dụng vốn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chuyển giao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169/2016/TT-BTC</w:t>
            </w:r>
          </w:p>
        </w:tc>
        <w:tc>
          <w:p/>
          <w:p>
            <w:pPr>
              <w:spacing w:after="0" w:before="0" w:lineRule="auto" w:line="276"/>
              <w:jc w:val="left"/>
            </w:pPr>
            <w:r>
              <w:rPr>
                <w:rFonts w:ascii="Times New Roman" w:hAnsi="Times New Roman" w:cs="Times New Roman" w:eastAsia="Times New Roman"/>
                <w:b w:val="false"/>
                <w:sz w:val="26"/>
              </w:rPr>
              <w:t>Thông tư 169/2016/TT-BTC - Quy định mức thu, chế độ thu, nộp, quản lý và sử dụng phí thẩm định hợp đồng chuyển giao công nghệ</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07/2017/QH14</w:t>
            </w:r>
          </w:p>
        </w:tc>
        <w:tc>
          <w:p/>
          <w:p>
            <w:pPr>
              <w:spacing w:after="0" w:before="0" w:lineRule="auto" w:line="276"/>
              <w:jc w:val="left"/>
            </w:pPr>
            <w:r>
              <w:rPr>
                <w:rFonts w:ascii="Times New Roman" w:hAnsi="Times New Roman" w:cs="Times New Roman" w:eastAsia="Times New Roman"/>
                <w:b w:val="false"/>
                <w:sz w:val="26"/>
              </w:rPr>
              <w:t>Luật 07/2017/QH14</w:t>
            </w:r>
          </w:p>
        </w:tc>
        <w:tc>
          <w:p/>
          <w:p>
            <w:pPr>
              <w:spacing w:after="0" w:before="0" w:lineRule="auto" w:line="276"/>
              <w:jc w:val="left"/>
            </w:pPr>
            <w:r>
              <w:rPr>
                <w:rFonts w:ascii="Times New Roman" w:hAnsi="Times New Roman" w:cs="Times New Roman" w:eastAsia="Times New Roman"/>
                <w:b w:val="false"/>
                <w:sz w:val="26"/>
              </w:rPr>
              <w:t>19-06-2017</w:t>
            </w:r>
          </w:p>
        </w:tc>
        <w:tc>
          <w:p/>
        </w:tc>
      </w:tr>
      <w:tr>
        <w:tc>
          <w:p/>
          <w:p>
            <w:pPr>
              <w:spacing w:after="0" w:before="0" w:lineRule="auto" w:line="276"/>
              <w:jc w:val="left"/>
            </w:pPr>
            <w:r>
              <w:rPr>
                <w:rFonts w:ascii="Times New Roman" w:hAnsi="Times New Roman" w:cs="Times New Roman" w:eastAsia="Times New Roman"/>
                <w:b w:val="false"/>
                <w:sz w:val="26"/>
              </w:rPr>
              <w:t>115/2025/QH15</w:t>
            </w:r>
          </w:p>
        </w:tc>
        <w:tc>
          <w:p/>
          <w:p>
            <w:pPr>
              <w:spacing w:after="0" w:before="0" w:lineRule="auto" w:line="276"/>
              <w:jc w:val="left"/>
            </w:pPr>
            <w:r>
              <w:rPr>
                <w:rFonts w:ascii="Times New Roman" w:hAnsi="Times New Roman" w:cs="Times New Roman" w:eastAsia="Times New Roman"/>
                <w:b w:val="false"/>
                <w:sz w:val="26"/>
              </w:rPr>
              <w:t>Luật số 115/2025/QH15 của Quốc hội: Luật sửa đổi, bổ sung một số điều của Luật Chuyển giao công nghệ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Số 101/2026/NĐ-CP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để hướng dẫn thi hành Luật Chuyển giao công nghệ</w:t>
            </w:r>
          </w:p>
        </w:tc>
        <w:tc>
          <w:p/>
          <w:p>
            <w:pPr>
              <w:spacing w:after="0" w:before="0" w:lineRule="auto" w:line="276"/>
              <w:jc w:val="left"/>
            </w:pPr>
            <w:r>
              <w:rPr>
                <w:rFonts w:ascii="Times New Roman" w:hAnsi="Times New Roman" w:cs="Times New Roman" w:eastAsia="Times New Roman"/>
                <w:b w:val="false"/>
                <w:sz w:val="26"/>
              </w:rPr>
              <w:t>31-03-2026</w:t>
            </w:r>
          </w:p>
        </w:tc>
        <w:tc>
          <w:p/>
        </w:tc>
      </w:tr>
      <w:tr>
        <w:tc>
          <w:p/>
          <w:p>
            <w:pPr>
              <w:spacing w:after="0" w:before="0" w:lineRule="auto" w:line="276"/>
              <w:jc w:val="left"/>
            </w:pPr>
            <w:r>
              <w:rPr>
                <w:rFonts w:ascii="Times New Roman" w:hAnsi="Times New Roman" w:cs="Times New Roman" w:eastAsia="Times New Roman"/>
                <w:b w:val="false"/>
                <w:sz w:val="26"/>
              </w:rPr>
              <w:t>Số 09/2026/TT-BKHCN</w:t>
            </w:r>
          </w:p>
        </w:tc>
        <w:tc>
          <w:p/>
          <w:p>
            <w:pPr>
              <w:spacing w:after="0" w:before="0" w:lineRule="auto" w:line="276"/>
              <w:jc w:val="left"/>
            </w:pPr>
            <w:r>
              <w:rPr>
                <w:rFonts w:ascii="Times New Roman" w:hAnsi="Times New Roman" w:cs="Times New Roman" w:eastAsia="Times New Roman"/>
                <w:b w:val="false"/>
                <w:sz w:val="26"/>
              </w:rPr>
              <w:t>Thông tư Quy định biểu mẫu phục vụ thẩm định công nghệ trong dự án đầu tư, đăng ký, cấp phép chuyển giao công nghệ, chứng nhận đủ điều kiện hoạt động dịch vụ đánh giá, giám định công nghệ và báo cáo tình hình thực hiện</w:t>
            </w:r>
          </w:p>
        </w:tc>
        <w:tc>
          <w:p/>
          <w:p>
            <w:pPr>
              <w:spacing w:after="0" w:before="0" w:lineRule="auto" w:line="276"/>
              <w:jc w:val="left"/>
            </w:pPr>
            <w:r>
              <w:rPr>
                <w:rFonts w:ascii="Times New Roman" w:hAnsi="Times New Roman" w:cs="Times New Roman" w:eastAsia="Times New Roman"/>
                <w:b w:val="false"/>
                <w:sz w:val="26"/>
              </w:rPr>
              <w:t>31-03-2026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2026-05-20T21:15:41Z</dcterms:created>
  <dc:creator>Apache POI</dc:creator>
</cp:coreProperties>
</file>