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chuyển giao công nghệ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cá nhân chuyển giao công nghệ hạn chế chuyển giao gửi hồ sơ đến Ủy ban nhân dân cấp tỉnh nơi triển khai ứng dụng công nghệ chuyển giao để đề nghị chấp thuận chuyển giao công nghệ.
2. Trong thời hạn 03 ngày làm việc kể từ ngày nhận được hồ sơ, Ủy ban nhân dân cấp tỉnh có trách nhiệm xem xét hồ sơ; trường hợp hồ sơ không đầy đủ thì có văn bản đề nghị tổ chức, cá nhân bổ sung hồ sơ theo quy định.
3. Trong thời hạn 30 ngày kể từ ngày nhận được hồ sơ đầy đủ, Ủy ban nhân dân cấp tỉnh ra văn bản chấp thuận chuyển giao công nghệ; trường hợp không chấp thuận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 hoặc ứng dụng định danh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chuyển giao công nghệ</w:t>
            </w:r>
          </w:p>
        </w:tc>
        <w:tc>
          <w:p/>
          <w:p>
            <w:pPr>
              <w:spacing w:after="0" w:before="0" w:lineRule="auto" w:line="276"/>
              <w:jc w:val="left"/>
            </w:pPr>
            <w:r>
              <w:rPr>
                <w:rFonts w:ascii="Times New Roman" w:hAnsi="Times New Roman" w:cs="Times New Roman" w:eastAsia="Times New Roman"/>
                <w:b w:val="false"/>
                <w:sz w:val="26"/>
              </w:rPr>
              <w:t>VBdenghi.docx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tư cách pháp lý của bên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giải trình về công nghệ</w:t>
            </w:r>
          </w:p>
        </w:tc>
        <w:tc>
          <w:p/>
          <w:p>
            <w:pPr>
              <w:spacing w:after="0" w:before="0" w:lineRule="auto" w:line="276"/>
              <w:jc w:val="left"/>
            </w:pPr>
            <w:r>
              <w:rPr>
                <w:rFonts w:ascii="Times New Roman" w:hAnsi="Times New Roman" w:cs="Times New Roman" w:eastAsia="Times New Roman"/>
                <w:b w:val="false"/>
                <w:sz w:val="26"/>
              </w:rPr>
              <w:t>Giaitrinhcongnghe.docx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giải trình về điều kiện sử dụng công nghệ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giải trình về việc phù hợp với quy định của pháp luật về tiêu chuẩn và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chấp thuận chuyển giao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169/2016/TT-BTC</w:t>
            </w:r>
          </w:p>
        </w:tc>
        <w:tc>
          <w:p/>
          <w:p>
            <w:pPr>
              <w:spacing w:after="0" w:before="0" w:lineRule="auto" w:line="276"/>
              <w:jc w:val="left"/>
            </w:pPr>
            <w:r>
              <w:rPr>
                <w:rFonts w:ascii="Times New Roman" w:hAnsi="Times New Roman" w:cs="Times New Roman" w:eastAsia="Times New Roman"/>
                <w:b w:val="false"/>
                <w:sz w:val="26"/>
              </w:rPr>
              <w:t>Thông tư 169/2016/TT-BTC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w:t>
            </w:r>
          </w:p>
        </w:tc>
        <w:tc>
          <w:p/>
          <w:p>
            <w:pPr>
              <w:spacing w:after="0" w:before="0" w:lineRule="auto" w:line="276"/>
              <w:jc w:val="left"/>
            </w:pPr>
            <w:r>
              <w:rPr>
                <w:rFonts w:ascii="Times New Roman" w:hAnsi="Times New Roman" w:cs="Times New Roman" w:eastAsia="Times New Roman"/>
                <w:b w:val="false"/>
                <w:sz w:val="26"/>
              </w:rPr>
              <w:t>19-06-2017</w:t>
            </w:r>
          </w:p>
        </w:tc>
        <w:tc>
          <w:p/>
        </w:tc>
      </w:tr>
      <w:tr>
        <w:tc>
          <w:p/>
          <w:p>
            <w:pPr>
              <w:spacing w:after="0" w:before="0" w:lineRule="auto" w:line="276"/>
              <w:jc w:val="left"/>
            </w:pPr>
            <w:r>
              <w:rPr>
                <w:rFonts w:ascii="Times New Roman" w:hAnsi="Times New Roman" w:cs="Times New Roman" w:eastAsia="Times New Roman"/>
                <w:b w:val="false"/>
                <w:sz w:val="26"/>
              </w:rPr>
              <w:t>115/2025/QH15</w:t>
            </w:r>
          </w:p>
        </w:tc>
        <w:tc>
          <w:p/>
          <w:p>
            <w:pPr>
              <w:spacing w:after="0" w:before="0" w:lineRule="auto" w:line="276"/>
              <w:jc w:val="left"/>
            </w:pPr>
            <w:r>
              <w:rPr>
                <w:rFonts w:ascii="Times New Roman" w:hAnsi="Times New Roman" w:cs="Times New Roman" w:eastAsia="Times New Roman"/>
                <w:b w:val="false"/>
                <w:sz w:val="26"/>
              </w:rPr>
              <w:t>Luật số 115/2025/QH15 của Quốc hội: Luật sửa đổi, bổ sung một số điều của Luật Chuyển giao công nghệ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Số 101/2026/NĐ-CP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để hướng dẫn thi hành Luật Chuyển giao công nghệ</w:t>
            </w:r>
          </w:p>
        </w:tc>
        <w:tc>
          <w:p/>
          <w:p>
            <w:pPr>
              <w:spacing w:after="0" w:before="0" w:lineRule="auto" w:line="276"/>
              <w:jc w:val="left"/>
            </w:pPr>
            <w:r>
              <w:rPr>
                <w:rFonts w:ascii="Times New Roman" w:hAnsi="Times New Roman" w:cs="Times New Roman" w:eastAsia="Times New Roman"/>
                <w:b w:val="false"/>
                <w:sz w:val="26"/>
              </w:rPr>
              <w:t>31-03-2026</w:t>
            </w:r>
          </w:p>
        </w:tc>
        <w:tc>
          <w:p/>
        </w:tc>
      </w:tr>
      <w:tr>
        <w:tc>
          <w:p/>
          <w:p>
            <w:pPr>
              <w:spacing w:after="0" w:before="0" w:lineRule="auto" w:line="276"/>
              <w:jc w:val="left"/>
            </w:pPr>
            <w:r>
              <w:rPr>
                <w:rFonts w:ascii="Times New Roman" w:hAnsi="Times New Roman" w:cs="Times New Roman" w:eastAsia="Times New Roman"/>
                <w:b w:val="false"/>
                <w:sz w:val="26"/>
              </w:rPr>
              <w:t>Số 09/2026/TT-BKHCN</w:t>
            </w:r>
          </w:p>
        </w:tc>
        <w:tc>
          <w:p/>
          <w:p>
            <w:pPr>
              <w:spacing w:after="0" w:before="0" w:lineRule="auto" w:line="276"/>
              <w:jc w:val="left"/>
            </w:pPr>
            <w:r>
              <w:rPr>
                <w:rFonts w:ascii="Times New Roman" w:hAnsi="Times New Roman" w:cs="Times New Roman" w:eastAsia="Times New Roman"/>
                <w:b w:val="false"/>
                <w:sz w:val="26"/>
              </w:rPr>
              <w:t>Thông tư Quy định biểu mẫu phục vụ thẩm định công nghệ trong dự án đầu tư, đăng ký, cấp phép chuyển giao công nghệ, chứng nhận đủ điều kiện hoạt động dịch vụ đánh giá, giám định công nghệ và báo cáo tình hình thực hiện</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2026-05-20T21:38:57Z</dcterms:created>
  <dc:creator>Apache POI</dc:creator>
</cp:coreProperties>
</file>