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mạng thông tin vô tuyến điện nội bộ theo quy định tại khoản 1 Mục X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mạng thông tin vô tuyến điện nội bộ hoặc từ chối cấp giấy phép và nêu rõ lý do trong thời hạn 22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1g2 đối với mạng thông tin vô tuyến điện nội bộ quy định tại khoản 1 và khoản 5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BKmu1g2.docx</w:t>
            </w:r>
          </w:p>
          <w:p>
            <w:pPr>
              <w:spacing w:after="0" w:before="0" w:lineRule="auto" w:line="276"/>
              <w:jc w:val="left"/>
            </w:pPr>
            <w:r>
              <w:rPr>
                <w:rFonts w:ascii="Times New Roman" w:hAnsi="Times New Roman" w:cs="Times New Roman" w:eastAsia="Times New Roman"/>
                <w:b w:val="false"/>
                <w:sz w:val="26"/>
              </w:rPr>
              <w:t>Mubnkhaithngtinchung.docx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thuộc Ủy ban nhân dân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11/2016/TT-BTC</w:t>
            </w:r>
          </w:p>
        </w:tc>
        <w:tc>
          <w:p/>
          <w:p>
            <w:pPr>
              <w:spacing w:after="0" w:before="0" w:lineRule="auto" w:line="276"/>
              <w:jc w:val="left"/>
            </w:pPr>
            <w:r>
              <w:rPr>
                <w:rFonts w:ascii="Times New Roman" w:hAnsi="Times New Roman" w:cs="Times New Roman" w:eastAsia="Times New Roman"/>
                <w:b w:val="false"/>
                <w:sz w:val="26"/>
              </w:rPr>
              <w:t>Thông tư 11/2016/TT-BTC</w:t>
            </w:r>
          </w:p>
        </w:tc>
        <w:tc>
          <w:p/>
          <w:p>
            <w:pPr>
              <w:spacing w:after="0" w:before="0" w:lineRule="auto" w:line="276"/>
              <w:jc w:val="left"/>
            </w:pPr>
            <w:r>
              <w:rPr>
                <w:rFonts w:ascii="Times New Roman" w:hAnsi="Times New Roman" w:cs="Times New Roman" w:eastAsia="Times New Roman"/>
                <w:b w:val="false"/>
                <w:sz w:val="26"/>
              </w:rPr>
              <w:t>19-01-2016</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2026-05-20T21:13:49Z</dcterms:created>
  <dc:creator>Apache POI</dc:creator>
</cp:coreProperties>
</file>