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sử dụng tần số và thiết bị vô tuyến điện đối với mạng thông tin vô tuyến điện nội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khi hết hạn ít nhất 30 ngày và tổng thời hạn cấp lần đầu và các lần gia hạn giấy phép không vượt quá 10 năm, tổ chức, cá nhân hoàn thiện hồ sơ đề nghị gia hạn giấy phép sử dụng tần số và thiết bị vô tuyến điện đối với mạng thông tin vô tuyến điện nội bộ theo quy định tại khoản 1 Mục XI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gia hạn giấy phép sử dụng tần số và thiết bị vô tuyến điện đối với mạng thông tin vô tuyến điện nội bộ hoặc từ chối gia hạn giấy phép và nêu rõ lý do trong thời hạn 07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- 7 ngày kể từ ngày nhận đầy đủ hồ sơ và hợp lệ .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- 7 ngày kể từ ngày nhận đầy đủ hồ sơ và hợp lệ .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- 7 ngày kể từ ngày nhận đầy đủ hồ sơ và hợp lệ .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đề nghị cấp đổi, gia hạn giấy phép sử dụng tần số và thiết bị vô tuyến điện theo mẫu quy định tại khoản 1 và khoản 6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BKcapdoigiahan_ND133.doc</w:t>
            </w:r>
          </w:p>
          <w:p>
            <w:pPr>
              <w:spacing w:after="0" w:before="0" w:lineRule="auto" w:line="276"/>
              <w:jc w:val="left"/>
            </w:pPr>
            <w:r>
              <w:rPr>
                <w:rFonts w:ascii="Times New Roman" w:hAnsi="Times New Roman" w:cs="Times New Roman" w:eastAsia="Times New Roman"/>
                <w:b w:val="false"/>
                <w:sz w:val="26"/>
              </w:rPr>
              <w:t>maubankhaithongtinchung.docx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qua 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2026-05-20T21:12:17Z</dcterms:created>
  <dc:creator>Apache POI</dc:creator>
</cp:coreProperties>
</file>