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1.013896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2093/QĐ-BYT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Tiếp nhận bản công bố hợp quy dựa trên kết quả chứng nhận hợp quy của tổ chức chứng nhận hợp quy được chỉ định (bên thứ ba) đối với thuốc lá.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công bố hợp quy lập hồ sơ công bố theo quy định tại Khoản 1 Điều 4 Thông tư số 49/2015/TT-BYT và gửi tới cơ quan chuyên môn về y tế thuộc Uỷ ban nhân dân cấp tỉnh nơi cơ sở đặt trụ sở (sau đây gọi tắt là cơ quan tiếp nhận hồ sơ). Trong trường hợp tổ chức, cá nhân có từ 02 (hai) cơ sở sản xuất trở lên cùng sản xuất một sản phẩm thì tổ chức, cá nhân chỉ làm thủ tục đăng ký bản công bố sản phẩm tại một cơ quan quản lý nhà nước ở địa phương có cơ sở sản xuất do tổ chức, cá nhân lựa chọn. Khi đã lựa chọn cơ quan quản lý nhà nước để đăng ký thì các lần đăng ký tiếp theo phải đăng ký tại cơ quan đã lựa chọn.
Bước 2. Trong thời hạn 07 (bảy) ngày làm việc, kể từ khi nhận đủ hồ sơ hợp lệ, cơ quan tiếp nhận hồ sơ có trách nhiệm cấp giấy tiếp nhận theo quy định tại Mẫu số 06 ban hành kèm theo Thông tư số 49/2015/TT-BYT. Trường hợp không cấp giấy tiếp nhận, cơ quan tiếp nhận hồ sơ phải trả lời bằng văn bản và nêu rõ lý do.
Bước 3. Trong thời hạn 15 (mười lăm) ngày làm việc, kể từ khi nhận đủ hồ sơ hợp lệ theo dấu văn bản đến, cơ quan tiếp nhận hồ sơ có trách nhiệm cấp giấy xác nhận theo quy định tại Mẫu số 07 ban hành kèm theo Thông tư số 49/2015/TT-BYT. Trường hợp không cấp giấy xác nhận, cơ quan tiếp nhận hồ sơ phải trả lời bằng văn bản và nêu rõ lý do.
Bước 4. Trong thời hạn 60 (sáu mươi) ngày làm việc, kể từ ngày nhận được văn bản thông báo lý do không cấp giấy tiếp nhận hoặc giấy xác nhận của cơ quan tiếp nhận hồ sơ đăng ký, nếu tổ chức, cá nhân công bố sản phẩm không bổ sung, hoàn chỉnh hồ sơ theo yêu cầu thì cơ quan tiếp nhận hồ sơ đăng ký sẽ hủy hồ sơ công bố.</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Bản công bố hợp quy theo quy định tại mẫu số 01 ban hành kèm theo Thông tư số 49/2015/TT-BYT;</w:t>
            </w:r>
          </w:p>
        </w:tc>
        <w:tc>
          <w:p/>
          <w:p>
            <w:pPr>
              <w:spacing w:after="0" w:before="0" w:lineRule="auto" w:line="276"/>
              <w:jc w:val="left"/>
            </w:pPr>
            <w:r>
              <w:rPr>
                <w:rFonts w:ascii="Times New Roman" w:hAnsi="Times New Roman" w:cs="Times New Roman" w:eastAsia="Times New Roman"/>
                <w:b w:val="false"/>
                <w:sz w:val="26"/>
              </w:rPr>
              <w:t>maudon.docx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thông tin chi tiết về thuốc lá kèm thiết kế nhãn có đủ nội dung ghi nhãn bắt buộc theo quy định tại mẫu số 02 ban hành kèm theo Thông tư số 49/2015/TT-BYT;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Chứng chỉ chứng nhận sự phù hợp của bên thứ ba kèm kết quả kiểm nghiệm (bản gốc hoặc bản sao chứng thực hoặc bản chụp có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tiếp nhận bản công bố hợp quy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09/2012/QH13</w:t>
            </w:r>
          </w:p>
        </w:tc>
        <w:tc>
          <w:p/>
          <w:p>
            <w:pPr>
              <w:spacing w:after="0" w:before="0" w:lineRule="auto" w:line="276"/>
              <w:jc w:val="left"/>
            </w:pPr>
            <w:r>
              <w:rPr>
                <w:rFonts w:ascii="Times New Roman" w:hAnsi="Times New Roman" w:cs="Times New Roman" w:eastAsia="Times New Roman"/>
                <w:b w:val="false"/>
                <w:sz w:val="26"/>
              </w:rPr>
              <w:t>Luật Phòng, chống tác hại của thuốc lá</w:t>
            </w:r>
          </w:p>
        </w:tc>
        <w:tc>
          <w:p/>
          <w:p>
            <w:pPr>
              <w:spacing w:after="0" w:before="0" w:lineRule="auto" w:line="276"/>
              <w:jc w:val="left"/>
            </w:pPr>
            <w:r>
              <w:rPr>
                <w:rFonts w:ascii="Times New Roman" w:hAnsi="Times New Roman" w:cs="Times New Roman" w:eastAsia="Times New Roman"/>
                <w:b w:val="false"/>
                <w:sz w:val="26"/>
              </w:rPr>
              <w:t>18-06-2012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49/2015/TT-BYT</w:t>
            </w:r>
          </w:p>
        </w:tc>
        <w:tc>
          <w:p/>
          <w:p>
            <w:pPr>
              <w:spacing w:after="0" w:before="0" w:lineRule="auto" w:line="276"/>
              <w:jc w:val="left"/>
            </w:pPr>
            <w:r>
              <w:rPr>
                <w:rFonts w:ascii="Times New Roman" w:hAnsi="Times New Roman" w:cs="Times New Roman" w:eastAsia="Times New Roman"/>
                <w:b w:val="false"/>
                <w:sz w:val="26"/>
              </w:rPr>
              <w:t>Thông tư 49/2015/TT-BYT</w:t>
            </w:r>
          </w:p>
        </w:tc>
        <w:tc>
          <w:p/>
          <w:p>
            <w:pPr>
              <w:spacing w:after="0" w:before="0" w:lineRule="auto" w:line="276"/>
              <w:jc w:val="left"/>
            </w:pPr>
            <w:r>
              <w:rPr>
                <w:rFonts w:ascii="Times New Roman" w:hAnsi="Times New Roman" w:cs="Times New Roman" w:eastAsia="Times New Roman"/>
                <w:b w:val="false"/>
                <w:sz w:val="26"/>
              </w:rPr>
              <w:t>11-12-2015</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nghị định 132/2008/NĐ-CP</w:t>
            </w:r>
          </w:p>
        </w:tc>
        <w:tc>
          <w:p/>
          <w:p>
            <w:pPr>
              <w:spacing w:after="0" w:before="0" w:lineRule="auto" w:line="276"/>
              <w:jc w:val="left"/>
            </w:pPr>
            <w:r>
              <w:rPr>
                <w:rFonts w:ascii="Times New Roman" w:hAnsi="Times New Roman" w:cs="Times New Roman" w:eastAsia="Times New Roman"/>
                <w:b w:val="false"/>
                <w:sz w:val="26"/>
              </w:rPr>
              <w:t>31-12-2008</w:t>
            </w:r>
          </w:p>
        </w:tc>
        <w:tc>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Chất lượng sản phẩm, hàng hóa</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68/2006/QH11</w:t>
            </w:r>
          </w:p>
        </w:tc>
        <w:tc>
          <w:p/>
          <w:p>
            <w:pPr>
              <w:spacing w:after="0" w:before="0" w:lineRule="auto" w:line="276"/>
              <w:jc w:val="left"/>
            </w:pPr>
            <w:r>
              <w:rPr>
                <w:rFonts w:ascii="Times New Roman" w:hAnsi="Times New Roman" w:cs="Times New Roman" w:eastAsia="Times New Roman"/>
                <w:b w:val="false"/>
                <w:sz w:val="26"/>
              </w:rPr>
              <w:t>Luật 68/2006/QH11</w:t>
            </w:r>
          </w:p>
        </w:tc>
        <w:tc>
          <w:p/>
          <w:p>
            <w:pPr>
              <w:spacing w:after="0" w:before="0" w:lineRule="auto" w:line="276"/>
              <w:jc w:val="left"/>
            </w:pPr>
            <w:r>
              <w:rPr>
                <w:rFonts w:ascii="Times New Roman" w:hAnsi="Times New Roman" w:cs="Times New Roman" w:eastAsia="Times New Roman"/>
                <w:b w:val="false"/>
                <w:sz w:val="26"/>
              </w:rPr>
              <w:t>29-06-2006</w:t>
            </w:r>
          </w:p>
        </w:tc>
        <w:tc>
          <w:p/>
        </w:tc>
      </w:tr>
      <w:tr>
        <w:tc>
          <w:p/>
          <w:p>
            <w:pPr>
              <w:spacing w:after="0" w:before="0" w:lineRule="auto" w:line="276"/>
              <w:jc w:val="left"/>
            </w:pPr>
            <w:r>
              <w:rPr>
                <w:rFonts w:ascii="Times New Roman" w:hAnsi="Times New Roman" w:cs="Times New Roman" w:eastAsia="Times New Roman"/>
                <w:b w:val="false"/>
                <w:sz w:val="26"/>
              </w:rPr>
              <w:t>127/2007/NĐ-CP</w:t>
            </w:r>
          </w:p>
        </w:tc>
        <w:tc>
          <w:p/>
          <w:p>
            <w:pPr>
              <w:spacing w:after="0" w:before="0" w:lineRule="auto" w:line="276"/>
              <w:jc w:val="left"/>
            </w:pPr>
            <w:r>
              <w:rPr>
                <w:rFonts w:ascii="Times New Roman" w:hAnsi="Times New Roman" w:cs="Times New Roman" w:eastAsia="Times New Roman"/>
                <w:b w:val="false"/>
                <w:sz w:val="26"/>
              </w:rPr>
              <w:t>Nghị định 127/2007/NĐ-CP</w:t>
            </w:r>
          </w:p>
        </w:tc>
        <w:tc>
          <w:p/>
          <w:p>
            <w:pPr>
              <w:spacing w:after="0" w:before="0" w:lineRule="auto" w:line="276"/>
              <w:jc w:val="left"/>
            </w:pPr>
            <w:r>
              <w:rPr>
                <w:rFonts w:ascii="Times New Roman" w:hAnsi="Times New Roman" w:cs="Times New Roman" w:eastAsia="Times New Roman"/>
                <w:b w:val="false"/>
                <w:sz w:val="26"/>
              </w:rPr>
              <w:t>01-08-2007</w:t>
            </w:r>
          </w:p>
        </w:tc>
        <w:tc>
          <w:p/>
        </w:tc>
      </w:tr>
      <w:tr>
        <w:tc>
          <w:p/>
          <w:p>
            <w:pPr>
              <w:spacing w:after="0" w:before="0" w:lineRule="auto" w:line="276"/>
              <w:jc w:val="left"/>
            </w:pPr>
            <w:r>
              <w:rPr>
                <w:rFonts w:ascii="Times New Roman" w:hAnsi="Times New Roman" w:cs="Times New Roman" w:eastAsia="Times New Roman"/>
                <w:b w:val="false"/>
                <w:sz w:val="26"/>
              </w:rPr>
              <w:t>17/2023/TT-BYT</w:t>
            </w:r>
          </w:p>
        </w:tc>
        <w:tc>
          <w:p/>
          <w:p>
            <w:pPr>
              <w:spacing w:after="0" w:before="0" w:lineRule="auto" w:line="276"/>
              <w:jc w:val="left"/>
            </w:pPr>
            <w:r>
              <w:rPr>
                <w:rFonts w:ascii="Times New Roman" w:hAnsi="Times New Roman" w:cs="Times New Roman" w:eastAsia="Times New Roman"/>
                <w:b w:val="false"/>
                <w:sz w:val="26"/>
              </w:rPr>
              <w:t>Thông tư số 17/2023/TT-BYT ngày 25/9/2023 của Bộ Y tế về việc sửa đổi, bổ sung và bãi bỏ một số văn bản quy phạm pháp luật về an toàn thực phẩm do Bộ trưởng Bộ Y tế ban hành.</w:t>
            </w:r>
          </w:p>
        </w:tc>
        <w:tc>
          <w:p/>
          <w:p>
            <w:pPr>
              <w:spacing w:after="0" w:before="0" w:lineRule="auto" w:line="276"/>
              <w:jc w:val="left"/>
            </w:pPr>
            <w:r>
              <w:rPr>
                <w:rFonts w:ascii="Times New Roman" w:hAnsi="Times New Roman" w:cs="Times New Roman" w:eastAsia="Times New Roman"/>
                <w:b w:val="false"/>
                <w:sz w:val="26"/>
              </w:rPr>
              <w:t>25-09-2023</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19/2025/TT-BYT</w:t>
            </w:r>
          </w:p>
        </w:tc>
        <w:tc>
          <w:p/>
          <w:p>
            <w:pPr>
              <w:spacing w:after="0" w:before="0" w:lineRule="auto" w:line="276"/>
              <w:jc w:val="left"/>
            </w:pPr>
            <w:r>
              <w:rPr>
                <w:rFonts w:ascii="Times New Roman" w:hAnsi="Times New Roman" w:cs="Times New Roman" w:eastAsia="Times New Roman"/>
                <w:b w:val="false"/>
                <w:sz w:val="26"/>
              </w:rPr>
              <w:t>Thông tư số 19/2025/TT-BYT của Bộ Y tế: Quy định về phân định, phân cấp thẩm quyền của chính quyền địa phương 02 cấp trong lĩnh vực phòng bệnh</w:t>
            </w:r>
          </w:p>
        </w:tc>
        <w:tc>
          <w:p/>
          <w:p>
            <w:pPr>
              <w:spacing w:after="0" w:before="0" w:lineRule="auto" w:line="276"/>
              <w:jc w:val="left"/>
            </w:pPr>
            <w:r>
              <w:rPr>
                <w:rFonts w:ascii="Times New Roman" w:hAnsi="Times New Roman" w:cs="Times New Roman" w:eastAsia="Times New Roman"/>
                <w:b w:val="false"/>
                <w:sz w:val="26"/>
              </w:rPr>
              <w:t>15-06-2025</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Chưa có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2026-04-30T02:50:25Z</dcterms:created>
  <dc:creator>Apache POI</dc:creator>
</cp:coreProperties>
</file>