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1.013895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2495/QĐ-BYT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lưu hành bổ sung do thay đổi địa điểm cơ sở sản xuất, thay đổi cơ sở sản xuất chế phẩm diệt côn trùng, diệt khuẩn dùng trong lĩnh vực gia dụng và y tế .</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đăng ký lưu hành bổ sung nộp hồ sơ đến Cơ quan chuyên môn về y tế thuộc Ủy ban nhân dân cấp tỉnh.
Bước 2: Sau khi nhận được hồ sơ đăng ký lưu hành bổ sung đầy đủ và phí thẩm định hồ sơ cho phép khảo nghiệm, Cơ quan chuyên môn về y tế thuộc Ủy ban nhân dân cấp tỉnh gửi cho cơ sở đăng ký Phiếu tiếp nhận hồ sơ theo Mẫu số 05 tại Phụ lục III ban hành kèm theo Nghị định số 91/2016/NĐ-CP.
Bước 3: Trong thời hạn 30 ngày, kể từ ngày ghi trên Phiếu tiếp nhận hồ sơ, Cơ quan chuyên môn về y tế thuộc Ủy ban nhân dân cấp tỉnh thông báo bằng văn bản cho cơ sở đăng ký về việc bổ sung, sửa đổi hồ sơ hoặc cho phép khảo nghiệm hoặc không cho phép khảo nghiệm và nêu rõ lý do.
Bước 4: Trường hợp Cơ quan chuyên môn về y tế thuộc Ủy ban nhân dân cấp tỉnh có văn bản yêu cầu sửa đổi, bổ sung hồ sơ, trong thời hạn 90 ngày kể từ ngày ghi trên văn bản, cơ sở đăng ký lưu hành bổ sung phải hoàn chỉnh hồ sơ, giải trình bằng văn bản và gửi đến Cơ quan chuyên môn về y tế thuộc Ủy ban nhân dân cấp tỉnh. Ngày tiếp nhận hồ sơ bổ sung, sửa đổi được ghi trên Phiếu tiếp nhận hồ sơ. Quá thời hạn trên, hồ sơ đăng ký lưu hành bổ sung sẽ bị hủy bỏ.
Trường hợp cơ sở đăng ký không nộp hồ sơ đúng thời hạn theo quy định vì lý do bất khả kháng như: thiên tai, thảm họa, dịch bệnh, hỏa hoạn,… thì được nộp hồ sơ muộn không quá 12 tháng kể từ ngày hết hạn bổ sung hồ sơ kèm theo văn bản giải trình.
Trường hợp Cơ quan chuyên môn về y tế thuộc Ủy ban nhân dân cấp tỉnh có văn bản cho phép khảo nghiệm, trong thời gian tối đa 12 tháng kể từ ngày ghi trên công văn cho phép khảo nghiệm, cơ sở đăng ký lưu hành bổ sung phải nộp kết quả khảo nghiệm để bổ sung vào hồ sơ. 
Bước 5: Trong thời hạn 30 ngày, kể từ ngày nhận được Phiếu trả lời kết quả khảo nghiệm và phí thẩm định hồ sơ đăng ký lưu hành bổ sung, Cơ quan chuyên môn về y tế thuộc Ủy ban nhân dân cấp tỉnh phải có văn bản thông báo yêu cầu sửa đổi, bổ sung hồ sơ; cho phép hoặc không cho phép bổ sung Giấy chứng nhận đăng ký lưu hành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 làm việc</w:t>
            </w:r>
          </w:p>
        </w:tc>
        <w:tc>
          <w:p/>
          <w:p>
            <w:pPr>
              <w:spacing w:after="0" w:before="0" w:lineRule="auto" w:line="276"/>
              <w:jc w:val="left"/>
            </w:pPr>
            <w:r>
              <w:rPr>
                <w:rFonts w:ascii="Times New Roman" w:hAnsi="Times New Roman" w:cs="Times New Roman" w:eastAsia="Times New Roman"/>
                <w:b w:val="false"/>
                <w:sz w:val="26"/>
              </w:rPr>
              <w:t>Phí : 1.250.000 Đồng</w:t>
              <w:t xml:space="preserve"> (Phí thẩm định đăng ký lưu hành đăng ký lưu hành bổ sung)</w:t>
            </w:r>
          </w:p>
          <w:p>
            <w:pPr>
              <w:spacing w:after="0" w:before="0" w:lineRule="auto" w:line="276"/>
              <w:jc w:val="left"/>
            </w:pPr>
            <w:r>
              <w:rPr>
                <w:rFonts w:ascii="Times New Roman" w:hAnsi="Times New Roman" w:cs="Times New Roman" w:eastAsia="Times New Roman"/>
                <w:b w:val="false"/>
                <w:sz w:val="26"/>
              </w:rPr>
              <w:t>Phí : 1.750.000 Đồng</w:t>
              <w:t xml:space="preserve"> (Phí thẩm định hồ sơ cho phép khảo nghiệm)</w:t>
            </w:r>
          </w:p>
        </w:tc>
        <w:tc>
          <w:p/>
          <w:p>
            <w:pPr>
              <w:spacing w:after="0" w:before="0" w:lineRule="auto" w:line="276"/>
              <w:jc w:val="left"/>
            </w:pPr>
            <w:r>
              <w:rPr>
                <w:rFonts w:ascii="Times New Roman" w:hAnsi="Times New Roman" w:cs="Times New Roman" w:eastAsia="Times New Roman"/>
                <w:b w:val="false"/>
                <w:sz w:val="26"/>
              </w:rPr>
              <w:t>60 ngày kể từ ngày nhận được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60 Ngày làm việc</w:t>
            </w:r>
          </w:p>
        </w:tc>
        <w:tc>
          <w:p/>
          <w:p>
            <w:pPr>
              <w:spacing w:after="0" w:before="0" w:lineRule="auto" w:line="276"/>
              <w:jc w:val="left"/>
            </w:pPr>
            <w:r>
              <w:rPr>
                <w:rFonts w:ascii="Times New Roman" w:hAnsi="Times New Roman" w:cs="Times New Roman" w:eastAsia="Times New Roman"/>
                <w:b w:val="false"/>
                <w:sz w:val="26"/>
              </w:rPr>
              <w:t>Phí : 1.250.000 Đồng</w:t>
              <w:t xml:space="preserve"> (Phí thẩm định đăng ký lưu hành đăng ký lưu hành bổ sung)</w:t>
            </w:r>
          </w:p>
          <w:p>
            <w:pPr>
              <w:spacing w:after="0" w:before="0" w:lineRule="auto" w:line="276"/>
              <w:jc w:val="left"/>
            </w:pPr>
            <w:r>
              <w:rPr>
                <w:rFonts w:ascii="Times New Roman" w:hAnsi="Times New Roman" w:cs="Times New Roman" w:eastAsia="Times New Roman"/>
                <w:b w:val="false"/>
                <w:sz w:val="26"/>
              </w:rPr>
              <w:t>Phí : 1.750.000 Đồng</w:t>
              <w:t xml:space="preserve"> (Phí thẩm định hồ sơ cho phép khảo nghiệm)</w:t>
            </w:r>
          </w:p>
        </w:tc>
        <w:tc>
          <w:p/>
          <w:p>
            <w:pPr>
              <w:spacing w:after="0" w:before="0" w:lineRule="auto" w:line="276"/>
              <w:jc w:val="left"/>
            </w:pPr>
            <w:r>
              <w:rPr>
                <w:rFonts w:ascii="Times New Roman" w:hAnsi="Times New Roman" w:cs="Times New Roman" w:eastAsia="Times New Roman"/>
                <w:b w:val="false"/>
                <w:sz w:val="26"/>
              </w:rPr>
              <w:t>60 ngày kể từ ngày nhận được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 làm việc</w:t>
            </w:r>
          </w:p>
        </w:tc>
        <w:tc>
          <w:p/>
          <w:p>
            <w:pPr>
              <w:spacing w:after="0" w:before="0" w:lineRule="auto" w:line="276"/>
              <w:jc w:val="left"/>
            </w:pPr>
            <w:r>
              <w:rPr>
                <w:rFonts w:ascii="Times New Roman" w:hAnsi="Times New Roman" w:cs="Times New Roman" w:eastAsia="Times New Roman"/>
                <w:b w:val="false"/>
                <w:sz w:val="26"/>
              </w:rPr>
              <w:t>Phí : 1.250.000 Đồng</w:t>
              <w:t xml:space="preserve"> (Phí thẩm định đăng ký lưu hành đăng ký lưu hành bổ sung)</w:t>
            </w:r>
          </w:p>
          <w:p>
            <w:pPr>
              <w:spacing w:after="0" w:before="0" w:lineRule="auto" w:line="276"/>
              <w:jc w:val="left"/>
            </w:pPr>
            <w:r>
              <w:rPr>
                <w:rFonts w:ascii="Times New Roman" w:hAnsi="Times New Roman" w:cs="Times New Roman" w:eastAsia="Times New Roman"/>
                <w:b w:val="false"/>
                <w:sz w:val="26"/>
              </w:rPr>
              <w:t>Phí : 1.750.000 Đồng</w:t>
              <w:t xml:space="preserve"> (Phí thẩm định hồ sơ cho phép khảo nghiệm)</w:t>
            </w:r>
          </w:p>
        </w:tc>
        <w:tc>
          <w:p/>
          <w:p>
            <w:pPr>
              <w:spacing w:after="0" w:before="0" w:lineRule="auto" w:line="276"/>
              <w:jc w:val="left"/>
            </w:pPr>
            <w:r>
              <w:rPr>
                <w:rFonts w:ascii="Times New Roman" w:hAnsi="Times New Roman" w:cs="Times New Roman" w:eastAsia="Times New Roman"/>
                <w:b w:val="false"/>
                <w:sz w:val="26"/>
              </w:rPr>
              <w:t>60 ngày kể từ ngày nhận được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đăng ký lưu hành bổ sung theo Mẫu số 05 tại Phụ lục I ban hành kèm theo Nghị định số 91/2016/NĐ-CP, Nghị định số 155/2018/NĐ-CP và Nghị định số 129/2024/NĐ-CP (Bản gốc văn bản).</w:t>
            </w:r>
          </w:p>
        </w:tc>
        <w:tc>
          <w:p/>
          <w:p>
            <w:pPr>
              <w:spacing w:after="0" w:before="0" w:lineRule="auto" w:line="276"/>
              <w:jc w:val="left"/>
            </w:pPr>
            <w:r>
              <w:rPr>
                <w:rFonts w:ascii="Times New Roman" w:hAnsi="Times New Roman" w:cs="Times New Roman" w:eastAsia="Times New Roman"/>
                <w:b w:val="false"/>
                <w:sz w:val="26"/>
              </w:rPr>
              <w:t>Maubieu.docx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ủy  quyền thực hiện việc đăng ký lưu hành trừ trường hợp quy định tại điểm a khoản 1 Điều 20 Nghị định số 91/2016/NĐ-CP (Bản gốc Giấy ủy quyền thực hiện việc đăng ký lưu hành. Giấy ủy quyền phải đáp ứng yêu cầu tại Phụ lục VII ban hành kèm theo Nghị định số 129/2024/NĐ-CP).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Giấy tờ  về tư cách pháp nhân của cơ sở sản xuất ghi địa điểm mới: - Đối với cơ sở tại Việt Nam: Giấy tờ về tư cách pháp nhân của cơ sở sản xuất ghi địa điểm mới (Bản sao hợp lệ hoặc bản sao giấy tờ về tư cách pháp nhân của cơ sở sản xuất ghi địa điểm mới có đóng dấu của đơn vị được cấp theo quy định tại Nghị định số 129/2024/NĐ-CP).  - Đối với cơ sở tại nước ngoài: văn bản thông báo thay đổi địa điểm, cơ sở sản xuất (Bản gốc hoặc bản sao hợp lệ văn bản thông báo thay đổi địa điểm hoặc thay đổi cơ sở sản xuất của cơ sở nước ngoài được hợp pháp hóa lãnh sự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Phiếu  trả lời kết quả khảo nghiệm chế phẩm sản xuất tại cơ sở mới (Bản gốc hoặc bản sao hợp lệ Phiếu trả lời kết quả khảo nghiệm được thực hiện bởi cơ sở độc lập đã công bố đủ điều kiện thực hiện khảo nghiệm theo quy định, không bao gồm cơ sở sản xuất và cơ sở đăng ký chế phẩm. Riêng đối với chế phẩm diệt khuẩn, chấp nhận kết quả khảo nghiệm của cơ sở khảo nghiệm độc lập tại nước ngoài được cơ quan có thẩm quyền nước sở tại chỉ định, thừa nhận hoặc được tổ chức công nhận công nhận phù hợp tiêu chuẩn ISO/IEC 17025 hoặc ISO 15189 hoặc tiêu chuẩn về quản lý chất lượng phòng thử nghiệm phục vụ khảo nghiệm. Trường hợp sử dụng Phiếu trả lời kết quả khảo nghiệm của cơ sở khảo nghiệm độc lập tại nước ngoài thì trong Phiếu trả lời kết quả khảo nghiệm phải bao gồm chỉ tiêu vi sinh, hiệu quả diệt khuẩn được quy định tại quy trình khảo nghiệm do Bộ Y tế ban hành và được hợp pháp hóa lãnh sự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5. Giấy  chứng nhận lưu hành tự do, trừ trường hợp chế phẩm đã được cấp số đăng ký lưu hành để sản xuất tại Việt Nam và đăng ký lưu hành bổ sung cơ sở sản xuất tại nước ngoài (Bản gốc hoặc bản sao hợp lệ Giấy chứng nhận lưu hành tự do đối với chế phẩm nhập khẩu. Giấy chứng nhận lưu hành tự do phải đáp ứng các yêu cầu tại Phụ lục VIII ban hành kèm theo Nghị định số 129/2024/NĐ-CP).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6. Mẫu  nhãn mới của chế phẩm (Mẫu nhãn của tất cả các quy cách đóng gói theo kích thước thực có xác nhận của cơ sở đăng ký. Trường hợp nhiều quy cách đóng gói có nhãn thiết kế giống nhau, cơ sở đăng ký nộp nhãn của quy cách đóng gói nhỏ nhất. Trường hợp mẫu nhãn chế phẩm nhập khẩu ghi bằng tiếng nước ngoài thì phải kèm theo nội dung nhãn phụ bằng tiếng Việt. Mẫu nhãn, nội dung nhãn phụ của chế phẩm phải đáp ứng các yêu cầu tại Phụ lục IX ban hành kèm theo Nghị định số 129/2024/NĐ-CP).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đồng ý hoặc không đồng ý</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91/2016/NĐ-CP</w:t>
            </w:r>
          </w:p>
        </w:tc>
        <w:tc>
          <w:p/>
          <w:p>
            <w:pPr>
              <w:spacing w:after="0" w:before="0" w:lineRule="auto" w:line="276"/>
              <w:jc w:val="left"/>
            </w:pPr>
            <w:r>
              <w:rPr>
                <w:rFonts w:ascii="Times New Roman" w:hAnsi="Times New Roman" w:cs="Times New Roman" w:eastAsia="Times New Roman"/>
                <w:b w:val="false"/>
                <w:sz w:val="26"/>
              </w:rPr>
              <w:t>Nghị định 91/2016/NĐ-CP-Về quản lý hóa chất, chế phẩm diệt côn trùng, diệt khuẩn dùng trong lĩnh vực gia dụng và y tế</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155/2018/NĐ-CP</w:t>
            </w:r>
          </w:p>
        </w:tc>
        <w:tc>
          <w:p/>
          <w:p>
            <w:pPr>
              <w:spacing w:after="0" w:before="0" w:lineRule="auto" w:line="276"/>
              <w:jc w:val="left"/>
            </w:pPr>
            <w:r>
              <w:rPr>
                <w:rFonts w:ascii="Times New Roman" w:hAnsi="Times New Roman" w:cs="Times New Roman" w:eastAsia="Times New Roman"/>
                <w:b w:val="false"/>
                <w:sz w:val="26"/>
              </w:rPr>
              <w:t>Nghị định 155/2018/NĐ-CP</w:t>
            </w:r>
          </w:p>
        </w:tc>
        <w:tc>
          <w:p/>
          <w:p>
            <w:pPr>
              <w:spacing w:after="0" w:before="0" w:lineRule="auto" w:line="276"/>
              <w:jc w:val="left"/>
            </w:pPr>
            <w:r>
              <w:rPr>
                <w:rFonts w:ascii="Times New Roman" w:hAnsi="Times New Roman" w:cs="Times New Roman" w:eastAsia="Times New Roman"/>
                <w:b w:val="false"/>
                <w:sz w:val="26"/>
              </w:rPr>
              <w:t>12-11-2018</w:t>
            </w:r>
          </w:p>
        </w:tc>
        <w:tc>
          <w:p/>
        </w:tc>
      </w:tr>
      <w:tr>
        <w:tc>
          <w:p/>
          <w:p>
            <w:pPr>
              <w:spacing w:after="0" w:before="0" w:lineRule="auto" w:line="276"/>
              <w:jc w:val="left"/>
            </w:pPr>
            <w:r>
              <w:rPr>
                <w:rFonts w:ascii="Times New Roman" w:hAnsi="Times New Roman" w:cs="Times New Roman" w:eastAsia="Times New Roman"/>
                <w:b w:val="false"/>
                <w:sz w:val="26"/>
              </w:rPr>
              <w:t>59/2023/TT-BTC</w:t>
            </w:r>
          </w:p>
        </w:tc>
        <w:tc>
          <w:p/>
          <w:p>
            <w:pPr>
              <w:spacing w:after="0" w:before="0" w:lineRule="auto" w:line="276"/>
              <w:jc w:val="left"/>
            </w:pPr>
            <w:r>
              <w:rPr>
                <w:rFonts w:ascii="Times New Roman" w:hAnsi="Times New Roman" w:cs="Times New Roman" w:eastAsia="Times New Roman"/>
                <w:b w:val="false"/>
                <w:sz w:val="26"/>
              </w:rPr>
              <w:t>Thông tư</w:t>
            </w:r>
          </w:p>
        </w:tc>
        <w:tc>
          <w:p/>
          <w:p>
            <w:pPr>
              <w:spacing w:after="0" w:before="0" w:lineRule="auto" w:line="276"/>
              <w:jc w:val="left"/>
            </w:pPr>
            <w:r>
              <w:rPr>
                <w:rFonts w:ascii="Times New Roman" w:hAnsi="Times New Roman" w:cs="Times New Roman" w:eastAsia="Times New Roman"/>
                <w:b w:val="false"/>
                <w:sz w:val="26"/>
              </w:rPr>
              <w:t>30-08-2023</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3613/QĐ-BYT</w:t>
            </w:r>
          </w:p>
        </w:tc>
        <w:tc>
          <w:p/>
          <w:p>
            <w:pPr>
              <w:spacing w:after="0" w:before="0" w:lineRule="auto" w:line="276"/>
              <w:jc w:val="left"/>
            </w:pPr>
            <w:r>
              <w:rPr>
                <w:rFonts w:ascii="Times New Roman" w:hAnsi="Times New Roman" w:cs="Times New Roman" w:eastAsia="Times New Roman"/>
                <w:b w:val="false"/>
                <w:sz w:val="26"/>
              </w:rPr>
              <w:t>Quyết định công bố thủ tục hành chính được sửa đổi, bổ sung trong lĩnh vực Y tế dự phòng quy định tại Nghị định số 129/2024/NĐ-CP ngày 10 tháng 10 năm 2024 của Chính phủ thuộc phạm vi chức năng quản lý của Bộ Y tế</w:t>
            </w:r>
          </w:p>
        </w:tc>
        <w:tc>
          <w:p/>
          <w:p>
            <w:pPr>
              <w:spacing w:after="0" w:before="0" w:lineRule="auto" w:line="276"/>
              <w:jc w:val="left"/>
            </w:pPr>
            <w:r>
              <w:rPr>
                <w:rFonts w:ascii="Times New Roman" w:hAnsi="Times New Roman" w:cs="Times New Roman" w:eastAsia="Times New Roman"/>
                <w:b w:val="false"/>
                <w:sz w:val="26"/>
              </w:rPr>
              <w:t>30-11-2024</w:t>
            </w:r>
          </w:p>
        </w:tc>
        <w:tc>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148/2025/NĐ-CP</w:t>
            </w:r>
          </w:p>
        </w:tc>
        <w:tc>
          <w:p/>
          <w:p>
            <w:pPr>
              <w:spacing w:after="0" w:before="0" w:lineRule="auto" w:line="276"/>
              <w:jc w:val="left"/>
            </w:pPr>
            <w:r>
              <w:rPr>
                <w:rFonts w:ascii="Times New Roman" w:hAnsi="Times New Roman" w:cs="Times New Roman" w:eastAsia="Times New Roman"/>
                <w:b w:val="false"/>
                <w:sz w:val="26"/>
              </w:rPr>
              <w:t>NGHỊ ĐỊNH  QUY ĐỊNH VỀ PHÂN QUYỀN, PHÂN CẤP TRONG LĨNH VỰC Y TẾ</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Yêu cầu đối với hồ sơ đăng ký lưu hành:
- Đối với hồ sơ nộp trực tiếp hoặc nộp qua bưu chính công ích: theo quy định tại Điều 26 Nghị định số 91/2016/NĐ-CP được sửa đổi bổ sung tại Nghị định số 155/2018/NĐ-CP và Nghị định số 129/2024/NĐ-CP.
- Đối với hồ sơ đăng ký trực tuyến: theo quy định tại Điều 52 Nghị định số 91/2016/NĐ-CP.
Điều kiện đối với chế phẩm đăng ký lưu hành: theo quy định tại Điều 19 Nghị định số 91/2016/NĐ-CP.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2026-04-30T03:02:12Z</dcterms:created>
  <dc:creator>Apache POI</dc:creator>
</cp:coreProperties>
</file>