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Tiếp nhận bản công bố hợp quy dựa trên kết quả tự đánh giá của tổ chức, cá nhân sản xuất, kinh doanh thuốc lá (bên thứ nhất)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công bố hợp quy lập hồ sơ công bố theo quy định tại Khoản 1 Điều 5 Thông tư số 49/2015/TT-BYT và gửi tới cơ quan chuyên môn về y tế thuộc Uỷ ban nhân dân cấp tỉnh nơi cơ sở đặt trụ sở (sau đây gọi tắt là cơ quan tiếp nhận hồ sơ). Trong trường hợp tổ chức, cá nhân có từ 02 (hai) cơ sở sản xuất trở lên cùng sản xuất một sản phẩm thì tổ chức, cá nhân chỉ làm thủ tục đăng ký bản công bố sản phẩm tại một cơ quan quản lý nhà nước ở địa phương có cơ sở sản xuất do tổ chức, cá nhân lựa chọn. Khi đã lựa chọn cơ quan quản lý nhà nước để đăng ký thì các lần đăng ký tiếp theo phải đăng ký tại cơ quan đã lựa chọn.</w:t>
      </w:r>
    </w:p>
    <w:p>
      <w:pPr>
        <w:spacing w:after="0" w:before="0" w:lineRule="auto" w:line="276"/>
        <w:jc w:val="both"/>
      </w:pPr>
      <w:r>
        <w:rPr>
          <w:rFonts w:ascii="Times New Roman" w:hAnsi="Times New Roman" w:cs="Times New Roman" w:eastAsia="Times New Roman"/>
          <w:b w:val="false"/>
          <w:sz w:val="26"/>
        </w:rPr>
        <w:t>Bước 2. Trong thời hạn 07 (bảy) ngày làm việc, kể từ khi nhận đủ hồ sơ hợp lệ, cơ quan tiếp nhận hồ sơ có trách nhiệm cấp giấy tiếp nhận theo quy định tại Mẫu số 06 ban hành kèm theo Thông tư số 49/2015/TT-BYT. Trường hợp không cấp giấy tiếp nhận, cơ quan tiếp nhận hồ sơ phải trả lời bằng văn bản và nêu rõ lý do.</w:t>
      </w:r>
    </w:p>
    <w:p>
      <w:pPr>
        <w:spacing w:after="0" w:before="0" w:lineRule="auto" w:line="276"/>
        <w:jc w:val="both"/>
      </w:pPr>
      <w:r>
        <w:rPr>
          <w:rFonts w:ascii="Times New Roman" w:hAnsi="Times New Roman" w:cs="Times New Roman" w:eastAsia="Times New Roman"/>
          <w:b w:val="false"/>
          <w:sz w:val="26"/>
        </w:rPr>
        <w:t>Bước 3. Trong thời hạn 15 (mười lăm) ngày làm việc, kể từ khi nhận đủ hồ sơ hợp lệ theo dấu văn bản đến, cơ quan tiếp nhận hồ sơ có trách nhiệm cấp giấy xác nhận theo quy định tại Mẫu số 07 ban hành kèm theo Thông tư số 49/2015/TT- BYT. Trường hợp không cấp giấy xác nhận, cơ quan tiếp nhận hồ sơ phải trả lời bằng văn bản và nêu rõ lý do.</w:t>
      </w:r>
    </w:p>
    <w:p>
      <w:pPr>
        <w:spacing w:after="0" w:before="0" w:lineRule="auto" w:line="276"/>
        <w:jc w:val="both"/>
      </w:pPr>
      <w:r>
        <w:rPr>
          <w:rFonts w:ascii="Times New Roman" w:hAnsi="Times New Roman" w:cs="Times New Roman" w:eastAsia="Times New Roman"/>
          <w:b w:val="false"/>
          <w:sz w:val="26"/>
        </w:rPr>
        <w:t>Bước 4. Trong thời hạn 60 (sáu mươi) ngày làm việc, kể từ ngày nhận được văn bản thông báo lý do không cấp giấy tiếp nhận hoặc giấy xác nhận của cơ quan tiếp nhận hồ sơ đăng ký, nếu tổ chức, cá nhân công bố sản phẩm không bổ sung, hoàn chỉnh hồ sơ theo yêu cầu thì cơ quan tiếp nhận hồ sơ đăng ký sẽ hủy hồ sơ công bố.</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không quá 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không quá 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không quá 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công bố hợp quy theo quy định tại mẫu số 01  ban hành kèm theo Thông tư số 49/2015/TT-BYT</w:t>
            </w:r>
          </w:p>
        </w:tc>
        <w:tc>
          <w:p/>
          <w:p>
            <w:pPr>
              <w:spacing w:after="0" w:before="0" w:lineRule="auto" w:line="276"/>
              <w:jc w:val="left"/>
            </w:pPr>
            <w:r>
              <w:rPr>
                <w:rFonts w:ascii="Times New Roman" w:hAnsi="Times New Roman" w:cs="Times New Roman" w:eastAsia="Times New Roman"/>
                <w:b w:val="false"/>
                <w:sz w:val="26"/>
              </w:rPr>
              <w:t>Mus1234.docx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thông tin chi tiết về thuốc lá kèm thiết kế nhãn có đủ nội dung ghi nhãn bắt buộc theo quy định tại mẫu  số 02 ban hành kèm theo Thông tư số 49/2015/TT-BYT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Kết quả kiểm nghiệm thuốc lá trong thời hạn 12 tháng của phòng kiểm nghiệm được chỉ định hoặc được công nhận, gồm các chỉ tiêu theo yêu cầu của quy chuẩn kỹ thuật quốc gia (bản gốc hoặc bản sao có chứng thực hoặc được hợp pháp hóa  lãnh sự hoặc bản chụp có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 hoạch giám sát định kỳ, thực hiện theo quy định tại Mẫu số 03 ban hành kèm theo  Thông tư số 49/2015/TT-BYT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hợp quy, thực hiện theo quy định tại  Mẫu số 04 ban hành kèm theo  Thông tư số 49/2015/TT-BYT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AGRIBANK</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tiếp nhận bản công bố hợp quy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 - Quy định chi tiết thi hành một số điều của Luật Tiêu chuẩn và Quy chuẩn kỹ thuật</w:t>
            </w:r>
          </w:p>
        </w:tc>
        <w:tc>
          <w:p/>
          <w:p>
            <w:pPr>
              <w:spacing w:after="0" w:before="0" w:lineRule="auto" w:line="276"/>
              <w:jc w:val="left"/>
            </w:pPr>
            <w:r>
              <w:rPr>
                <w:rFonts w:ascii="Times New Roman" w:hAnsi="Times New Roman" w:cs="Times New Roman" w:eastAsia="Times New Roman"/>
                <w:b w:val="false"/>
                <w:sz w:val="26"/>
              </w:rPr>
              <w:t>01-08-2007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Phòng, chống tác hại của thuốc lá</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49/2015/TT-BYT</w:t>
            </w:r>
          </w:p>
        </w:tc>
        <w:tc>
          <w:p/>
          <w:p>
            <w:pPr>
              <w:spacing w:after="0" w:before="0" w:lineRule="auto" w:line="276"/>
              <w:jc w:val="left"/>
            </w:pPr>
            <w:r>
              <w:rPr>
                <w:rFonts w:ascii="Times New Roman" w:hAnsi="Times New Roman" w:cs="Times New Roman" w:eastAsia="Times New Roman"/>
                <w:b w:val="false"/>
                <w:sz w:val="26"/>
              </w:rPr>
              <w:t>Thông tư 49/2015/TT-BYT</w:t>
            </w:r>
          </w:p>
        </w:tc>
        <w:tc>
          <w:p/>
          <w:p>
            <w:pPr>
              <w:spacing w:after="0" w:before="0" w:lineRule="auto" w:line="276"/>
              <w:jc w:val="left"/>
            </w:pPr>
            <w:r>
              <w:rPr>
                <w:rFonts w:ascii="Times New Roman" w:hAnsi="Times New Roman" w:cs="Times New Roman" w:eastAsia="Times New Roman"/>
                <w:b w:val="false"/>
                <w:sz w:val="26"/>
              </w:rPr>
              <w:t>11-12-2015</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w:t>
            </w:r>
          </w:p>
        </w:tc>
        <w:tc>
          <w:p/>
          <w:p>
            <w:pPr>
              <w:spacing w:after="0" w:before="0" w:lineRule="auto" w:line="276"/>
              <w:jc w:val="left"/>
            </w:pPr>
            <w:r>
              <w:rPr>
                <w:rFonts w:ascii="Times New Roman" w:hAnsi="Times New Roman" w:cs="Times New Roman" w:eastAsia="Times New Roman"/>
                <w:b w:val="false"/>
                <w:sz w:val="26"/>
              </w:rPr>
              <w:t>31-12-2008</w:t>
            </w:r>
          </w:p>
        </w:tc>
        <w:tc>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68/2006/QH11</w:t>
            </w:r>
          </w:p>
        </w:tc>
        <w:tc>
          <w:p/>
          <w:p>
            <w:pPr>
              <w:spacing w:after="0" w:before="0" w:lineRule="auto" w:line="276"/>
              <w:jc w:val="left"/>
            </w:pPr>
            <w:r>
              <w:rPr>
                <w:rFonts w:ascii="Times New Roman" w:hAnsi="Times New Roman" w:cs="Times New Roman" w:eastAsia="Times New Roman"/>
                <w:b w:val="false"/>
                <w:sz w:val="26"/>
              </w:rPr>
              <w:t>29-06-2006</w:t>
            </w:r>
          </w:p>
        </w:tc>
        <w:tc>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05/2007/QH12</w:t>
            </w:r>
          </w:p>
        </w:tc>
        <w:tc>
          <w:p/>
          <w:p>
            <w:pPr>
              <w:spacing w:after="0" w:before="0" w:lineRule="auto" w:line="276"/>
              <w:jc w:val="left"/>
            </w:pPr>
            <w:r>
              <w:rPr>
                <w:rFonts w:ascii="Times New Roman" w:hAnsi="Times New Roman" w:cs="Times New Roman" w:eastAsia="Times New Roman"/>
                <w:b w:val="false"/>
                <w:sz w:val="26"/>
              </w:rPr>
              <w:t>21-11-2007</w:t>
            </w:r>
          </w:p>
        </w:tc>
        <w:tc>
          <w:p/>
        </w:tc>
      </w:tr>
      <w:tr>
        <w:tc>
          <w:p/>
          <w:p>
            <w:pPr>
              <w:spacing w:after="0" w:before="0" w:lineRule="auto" w:line="276"/>
              <w:jc w:val="left"/>
            </w:pPr>
            <w:r>
              <w:rPr>
                <w:rFonts w:ascii="Times New Roman" w:hAnsi="Times New Roman" w:cs="Times New Roman" w:eastAsia="Times New Roman"/>
                <w:b w:val="false"/>
                <w:sz w:val="26"/>
              </w:rPr>
              <w:t>17/2023/TT-BYT</w:t>
            </w:r>
          </w:p>
        </w:tc>
        <w:tc>
          <w:p/>
          <w:p>
            <w:pPr>
              <w:spacing w:after="0" w:before="0" w:lineRule="auto" w:line="276"/>
              <w:jc w:val="left"/>
            </w:pPr>
            <w:r>
              <w:rPr>
                <w:rFonts w:ascii="Times New Roman" w:hAnsi="Times New Roman" w:cs="Times New Roman" w:eastAsia="Times New Roman"/>
                <w:b w:val="false"/>
                <w:sz w:val="26"/>
              </w:rPr>
              <w:t>Thông tư số 17/2023/TT-BYT ngày 25/9/2023 của Bộ Y tế về việc sửa đổi, bổ sung và bãi bỏ một số văn bản quy phạm pháp luật về an toàn thực phẩm do Bộ trưởng Bộ Y tế ban hành.</w:t>
            </w:r>
          </w:p>
        </w:tc>
        <w:tc>
          <w:p/>
          <w:p>
            <w:pPr>
              <w:spacing w:after="0" w:before="0" w:lineRule="auto" w:line="276"/>
              <w:jc w:val="left"/>
            </w:pPr>
            <w:r>
              <w:rPr>
                <w:rFonts w:ascii="Times New Roman" w:hAnsi="Times New Roman" w:cs="Times New Roman" w:eastAsia="Times New Roman"/>
                <w:b w:val="false"/>
                <w:sz w:val="26"/>
              </w:rPr>
              <w:t>25-09-2023</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19/2025/TT-BYT</w:t>
            </w:r>
          </w:p>
        </w:tc>
        <w:tc>
          <w:p/>
          <w:p>
            <w:pPr>
              <w:spacing w:after="0" w:before="0" w:lineRule="auto" w:line="276"/>
              <w:jc w:val="left"/>
            </w:pPr>
            <w:r>
              <w:rPr>
                <w:rFonts w:ascii="Times New Roman" w:hAnsi="Times New Roman" w:cs="Times New Roman" w:eastAsia="Times New Roman"/>
                <w:b w:val="false"/>
                <w:sz w:val="26"/>
              </w:rPr>
              <w:t>Thông tư số 19/2025/TT-BYT của Bộ Y tế: Quy định về phân định, phân cấp thẩm quyền của chính quyền địa phương 02 cấp trong lĩnh vực phòng bệnh</w:t>
            </w:r>
          </w:p>
        </w:tc>
        <w:tc>
          <w:p/>
          <w:p>
            <w:pPr>
              <w:spacing w:after="0" w:before="0" w:lineRule="auto" w:line="276"/>
              <w:jc w:val="left"/>
            </w:pPr>
            <w:r>
              <w:rPr>
                <w:rFonts w:ascii="Times New Roman" w:hAnsi="Times New Roman" w:cs="Times New Roman" w:eastAsia="Times New Roman"/>
                <w:b w:val="false"/>
                <w:sz w:val="26"/>
              </w:rPr>
              <w:t>15-06-2025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2026-04-30T02:52:34Z</dcterms:created>
  <dc:creator>Apache POI</dc:creator>
</cp:coreProperties>
</file>