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phép sử dụng tần số và thiết bị vô tuyến điện đối với mạng thông tin vô tuyến điện nội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giấy phép giấy bị mất hoặc bị hư hỏng, tổ chức, cá nhân hoàn thiện hồ sơ đề nghị cấp đổi giấy phép sử dụng tần số và thiết bị vô tuyến điện đối với mạng thông tin vô tuyến điện nội bộ theo quy định tại tại khoản 1 Mục XI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cấp đổi giấy phép sử dụng tần số và thiết bị vô tuyến điện đối với mạng thông tin vô tuyến điện nội bộ hoặc từ chối cấp đổi giấy phép và nêu rõ lý do trong thời hạn 7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được hồ sơ đầy đủ, đúng quy định.
- Nộp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đề nghị cấp đổi, gia hạn giấy phép sử dụng tần số và thiết bị vô tuyến điện theo mẫu quy định tại khoản 1 và khoản 6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Mubnkhaithngtinchung.docx</w:t>
            </w:r>
          </w:p>
          <w:p>
            <w:pPr>
              <w:spacing w:after="0" w:before="0" w:lineRule="auto" w:line="276"/>
              <w:jc w:val="left"/>
            </w:pPr>
            <w:r>
              <w:rPr>
                <w:rFonts w:ascii="Times New Roman" w:hAnsi="Times New Roman" w:cs="Times New Roman" w:eastAsia="Times New Roman"/>
                <w:b w:val="false"/>
                <w:sz w:val="26"/>
              </w:rPr>
              <w:t>BKcpi_giahn_ND133.doc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2026-05-20T21:12:16Z</dcterms:created>
  <dc:creator>Apache POI</dc:creator>
</cp:coreProperties>
</file>