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1.013890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2093/QĐ-BYT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đủ điều kiện thực hiện hoạt động quan trắc môi trường lao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Trước khi thực hiện quan trắc môi trường lao động, người đứng đầu tổ chức thực hiện quan trắc môi trường lao động (kể cả đối với các tổ chức thuộc quản lý của các Bộ, ngành) gửi Cơ quan chuyên môn về y tế thuộc Ủy ban nhân dân cấp tỉnh hồ sơ công bố đủ điều kiện thực hiện quan trắc môi trường lao động theo quy định.
Bước 2. Trong thời gian 30 ngày, kể từ ngày tiếp nhận hồ sơ, cơ quan tiếp nhận hồ sơ công bố đủ điều kiện quan trắc môi trường lao động trên Cổng thông tin điện tử của đơn vị. Trường hợp không bảo đảm điều kiện thì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công bố đủ điều kiện quan trắc môi trường lao động  theo Mẫu số 01 quy định tại Phụ lục III ban hành kèm theo Nghị định số 44/2016/NĐ-CP ngày 15/5/2016 của Chính phủ;</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công bố đủ điều kiện quan trắc môi trường lao động theo  Mẫu số 02 quy định tại Phụ lục III ban hành kèm theo Nghị định số 44/2016/NĐ-CP ngày 15/5/2016 của Chính phủ.</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Tổ chức được Bộ Y tế công bố đủ điều kiện quan trắc môi trường lao động trên cổng thông tin điện tử của Ủy ban nhân dân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140/2018/NĐ-CP</w:t>
            </w:r>
          </w:p>
        </w:tc>
        <w:tc>
          <w:p/>
          <w:p>
            <w:pPr>
              <w:spacing w:after="0" w:before="0" w:lineRule="auto" w:line="276"/>
              <w:jc w:val="left"/>
            </w:pPr>
            <w:r>
              <w:rPr>
                <w:rFonts w:ascii="Times New Roman" w:hAnsi="Times New Roman" w:cs="Times New Roman" w:eastAsia="Times New Roman"/>
                <w:b w:val="false"/>
                <w:sz w:val="26"/>
              </w:rPr>
              <w:t>Nghị định 140/2018/NĐ-CP</w:t>
            </w:r>
          </w:p>
        </w:tc>
        <w:tc>
          <w:p/>
          <w:p>
            <w:pPr>
              <w:spacing w:after="0" w:before="0" w:lineRule="auto" w:line="276"/>
              <w:jc w:val="left"/>
            </w:pPr>
            <w:r>
              <w:rPr>
                <w:rFonts w:ascii="Times New Roman" w:hAnsi="Times New Roman" w:cs="Times New Roman" w:eastAsia="Times New Roman"/>
                <w:b w:val="false"/>
                <w:sz w:val="26"/>
              </w:rPr>
              <w:t>08-10-2018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84/2015/QH13	</w:t>
            </w:r>
          </w:p>
        </w:tc>
        <w:tc>
          <w:p/>
          <w:p>
            <w:pPr>
              <w:spacing w:after="0" w:before="0" w:lineRule="auto" w:line="276"/>
              <w:jc w:val="left"/>
            </w:pPr>
            <w:r>
              <w:rPr>
                <w:rFonts w:ascii="Times New Roman" w:hAnsi="Times New Roman" w:cs="Times New Roman" w:eastAsia="Times New Roman"/>
                <w:b w:val="false"/>
                <w:sz w:val="26"/>
              </w:rPr>
              <w:t>An toàn, vệ sinh lao động</w:t>
            </w:r>
          </w:p>
        </w:tc>
        <w:tc>
          <w:p/>
          <w:p>
            <w:pPr>
              <w:spacing w:after="0" w:before="0" w:lineRule="auto" w:line="276"/>
              <w:jc w:val="left"/>
            </w:pPr>
            <w:r>
              <w:rPr>
                <w:rFonts w:ascii="Times New Roman" w:hAnsi="Times New Roman" w:cs="Times New Roman" w:eastAsia="Times New Roman"/>
                <w:b w:val="false"/>
                <w:sz w:val="26"/>
              </w:rPr>
              <w:t>25-06-2015</w:t>
            </w:r>
          </w:p>
        </w:tc>
        <w:tc>
          <w:p/>
        </w:tc>
      </w:tr>
      <w:tr>
        <w:tc>
          <w:p/>
          <w:p>
            <w:pPr>
              <w:spacing w:after="0" w:before="0" w:lineRule="auto" w:line="276"/>
              <w:jc w:val="left"/>
            </w:pPr>
            <w:r>
              <w:rPr>
                <w:rFonts w:ascii="Times New Roman" w:hAnsi="Times New Roman" w:cs="Times New Roman" w:eastAsia="Times New Roman"/>
                <w:b w:val="false"/>
                <w:sz w:val="26"/>
              </w:rPr>
              <w:t>44/2016/NĐ-CP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15-05-2016</w:t>
            </w:r>
          </w:p>
        </w:tc>
        <w:tc>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hoạt động quan trắc môi trường lao động bảo đảm điều kiện sau đây:
1. Đơn vị sự nghiệp hoặc doanh nghiệp cung ứng dịch vụ quan trắc môi trường lao động.
2. Có đủ nhân lực thực hiện hoạt động quan trắc môi trường lao động như sau:
a) Người trực tiếp phụ trách quan trắc môi trường lao động có trình độ như sau:
- Trình độ từ đại học trở lên thuộc lĩnh vực y tế, môi trường, hóa sinh;
- Có tối thiểu 02 năm kinh nghiệm trong lĩnh vực quan trắc môi trường lao động hoặc 03 năm kinh nghiệm trong lĩnh vực y học dự phòng;
- Có chứng chỉ đào tạo về quan trắc môi trường lao động.
b) Có ít nhất 05 người làm việc theo hợp đồng có thời hạn từ 12 tháng trở lên hoặc hợp đồng không xác định thời hạn có trình độ như sau:
- Trình độ chuyên môn từ trung cấp trở lên thuộc các lĩnh vực y tế, môi trường, hóa sinh;
- Có chứng chỉ đào tạo về quan trắc môi trường lao động.
3. Có cơ sở vật chất, trang thiết bị, dụng cụ, hóa chất và năng lực bảo đảm yêu cầu tối thiểu như sau:
a) Quan trắc yếu tố có hại trong môi trường lao động
Đảm bảo thực hiện được tối thiểu 70% yếu tố sau đây:
- Đo, thử nghiệm, phân tích tại hiện trường và trong phòng thí nghiệm các yếu tố vi khí hậu, bao gồm: nhiệt độ, độ ẩm, tốc độ gió và bức xạ nhiệt;
- Đo, thử nghiệm, phân tích tại hiện trường và trong phòng thí nghiệm yếu tố vật lý, bao gồm: ánh sáng, tiếng ồn, rung theo dải tần, phóng xạ, điện từ trường, bức xạ tử ngoại;
- Đánh giá yếu tố tiếp xúc nghề nghiệp, bao gồm: yếu tố vi sinh vật, gây dị ứng, mẫn cảm, dung môi;
- Đánh giá gánh nặng lao động và một số chỉ tiêu tâm sinh lý lao động Ec-gô-nô-my: Đánh giá gánh nặng lao động thể lực; đánh giá căng thẳng thần kinh tâm lý; đánh giá Ec-gô-nô-my vị trí lao động;
- Lấy mẫu, bảo quản, đo, thử nghiệm tại hiện trường và phân tích trong phòng thí nghiệm của bụi hạt, phân tích hàm lượng silic trong bụi, bụi kim loại, bụi than, bụi talc, bụi bông và bụi amiăng;
- Lấy mẫu, bảo quản, đo, thử nghiệm tại hiện trường và phân tích trong phòng thí nghiệm của các yếu tố hóa học tối thiểu bao gồm NOx, SOx, CO, CO2, dung môi hữu cơ (benzen và đồng đẳng - toluen, xylen), thủy ngân, asen, TNT, nicotin, hóa chất trừ sâu.
b) Có kế hoạch và quy trình bảo quản, sử dụng an toàn, bảo dưỡng và kiểm định, hiệu chuẩn thiết bị theo quy định của cơ quan nhà nước có thẩm quyền hoặc quy định của nhà sản xuất nếu cơ quan nhà nước có thẩm quyền không quy định;
c) Có quy trình sử dụng, vận hành thiết bị lấy và bảo quản mẫu, đo, thử nghiệm và phân tích môi trường lao động;
d) Có trụ sở làm việc, đủ diện tích để bảo đảm chất lượng công tác quan trắc môi trường lao động, điều kiện phòng thí nghiệm phải đạt yêu cầu về chất lượng trong bảo quản, xử lý, phân tích mẫu;
đ) Trang bị đầy đủ phương tiện bảo vệ cá nhân khi thực hiện quan trắc môi trường lao động;
e) Có biện pháp bảo đảm vệ sinh công nghiệp, an toàn phòng cháy, chữa cháy, an toàn sinh học, an toàn hóa học và tuân thủ nghiêm ngặt việc thu gom, vận chuyển bảo quản và xử lý chất thải theo đúng quy định của pháp luật.
Yêu cầu về hồ sơ: 
- Bảo đảm hồ sơ và nội dung giấy tờ như hồ sơ bằng bản giấy và được chuyển sang dạng văn bản điện tử. Tên văn bản điện tử phải được đặt tương ứng với tên loại giấy tờ trong hồ sơ bằng bản giấy;
- Thông tin văn bản đề nghị công bố, hồ sơ công bố phải đầy đủ và chính xác theo thông tin văn bản điện tử;
- Tổ chức đề nghị công bố đủ điều kiện quan trắc môi trường lao động trực tuyến phải thực hiện lưu giữ hồ sơ bằng bản giấy.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2026-04-30T02:52:40Z</dcterms:created>
  <dc:creator>Apache POI</dc:creator>
</cp:coreProperties>
</file>