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1.013866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lưu hành mới chế phẩm diệt côn trùng, diệt khuẩn dùng trong lĩnh vực gia dụng và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1: Trình tự thực hiện đối với hồ sơ chế phẩm đăng ký lưu hành mới của chế phẩm diệt côn trùng dùng trong gia dụng có hoạt chất, hàm lượng hoạt chất, dạng chế phẩm theo khuyến cáo của Tổ chức Y tế thế giới và phù hợp với quy định của Bộ Y tế về danh mục hoạt chất cấm sử dụng, hạn chế phạm vi sử dụng trong chế phẩm diệt côn trùng, diệt khuẩn dùng trong lĩnh vực gia dụng và y tế; hồ sơ đăng ký mới đối với chế phẩm diệt khuẩn dùng trong gia dụng có chứa hoạt chất Ethanol hoặc Isopropanol hoặc hỗn hợp Ethanol và Isopropanol với tổng hàm lượng từ 60% đến 90% và có thể chứa không quá 0,5% Chlorhexidine:
Bước 1: Cơ sở đăng ký lưu hành chế phẩm diệt côn trùng, diệt khuẩn dùng trong lĩnh vực gia dụng và y tế nộp hồ sơ đến Cơ quan chuyên môn về y tế thuộc Ủy ban nhân dân cấp tỉnh.
Bước 2: Sau khi nhận được hồ sơ đăng ký lưu hành mới và phí thẩm định hồ sơ, Cơ quan chuyên môn về y tế thuộc Ủy ban nhân dân cấp tỉnh gửi cho cơ sở đăng ký Phiếu tiếp nhận hồ sơ theo Mẫu số 04 của tại Phụ lục III ban hành kèm theo Nghị định số 91/2016/NĐ-CP.
Bước 3: 	
- Trong thời hạn 30 ngày, kể từ ngày ghi trên Phiếu tiếp nhận hồ sơ, Cơ quan chuyên môn về y tế thuộc Ủy ban nhân dân cấp tỉnh thông báo bằng văn bản cho cơ sở đăng ký lưu hành mới về việc yêu cầu sửa đổi, bổ sung hồ sơ hoặc cấp hoặc không cấp số đăng ký lưu hành.
- Trường hợp có yêu cầu bổ sung, sửa đổi hồ sơ, trong thời hạn 90 ngày kể từ ngày ghi trên văn bản, cơ sở đăng ký phải hoàn chỉnh hồ sơ, giải trình rõ những nội dung bổ sung, sửa đổi bằng văn bản và gửi đến Cơ quan chuyên môn về y tế thuộc Ủy ban nhân dân cấp tỉnh. Ngày tiếp nhận hồ sơ bổ sung, sửa đổi được ghi trên Phiếu tiếp nhận hồ sơ. Nếu quá thời hạn trên, hồ sơ đăng ký lưu hành mới sẽ bị hủy bỏ.
Trường hợp cơ sở đăng ký không nộp hồ sơ đúng thời hạn theo quy định vì lý do bất khả kháng như: thiên tai, thảm họa, dịch bệnh, hỏa hoạn,… thì được nộp hồ sơ muộn không quá 12 tháng kể từ ngày hết hạn bổ sung hồ sơ kèm theo văn bản giải trình.
Trường hợp 2. Trình tự thực hiện đối với hồ sơ đăng ký lưu hành mới chế phẩm diệt côn trùng, diệt khuẩn dùng trong lĩnh vực gia dụng và y tế không thuộc trường hợp 1 nêu trên:
Bước 1: Cơ sở đăng ký lưu hành chế phẩm diệt côn trùng, diệt khuẩn dùng trong lĩnh vực gia dụng và y tế nộp hồ sơ đến Cơ quan chuyên môn về y tế thuộc Ủy ban nhân dân cấp tỉnh.
Bước 2: Sau khi nhận được hồ sơ đăng ký lưu hành mới và phí thẩm định hồ sơ, Cơ quan chuyên môn về y tế thuộc Ủy ban nhân dân cấp tỉnh gửi cho cơ sở đăng ký Phiếu tiếp nhận hồ sơ theo Mẫu số 04 của tại Phụ lục III ban hành kèm theo Nghị định số 91/2016/NĐ-CP.
Bước 3: 
- Trong thời hạn 30 ngày, kể từ ngày ghi trên Phiếu tiếp nhận hồ sơ, Cơ quan chuyên môn về y tế thuộc Ủy ban nhân dân cấp tỉnh thông báo bằng văn bản cho cơ sở đăng ký lưu hành mới về việc yêu cầu sửa đổi, bổ sung hồ sơ hoặc chấp thuận hoặc không chấp thuận việc khảo nghiệm.
Đối với hồ sơ chế phẩm có chứa hoạt chất hoặc có dạng sản phẩm lần đầu hoặc có phạm vi sử dụng hoặc tác dụng lần đầu đăng ký tại Việt Nam: trong thời hạn 90 ngày, kể từ ngày ghi trên Phiếu tiếp nhận hồ sơ, Cơ quan chuyên môn về y tế thuộc Ủy ban nhân dân cấp tỉnh thông báo bằng văn bản cho cơ sở đăng ký lưu hành mới về việc yêu cầu bổ sung, sửa đổi hồ sơ; chấp thuận hoặc không chấp thuận việc khảo nghiệm. Trường hợp không chấp thuận việc khảo nghiệm phải nêu rõ lý do.
- Trường hợp có yêu cầu bổ sung, sửa đổi hồ sơ, trong thời hạn 90 ngày kể từ ngày ghi trên văn bản, cơ sở đăng ký phải hoàn chỉnh hồ sơ, giải trình rõ những nội dung bổ sung, sửa đổi bằng văn bản và gửi đến Cơ quan chuyên môn về y tế thuộc Ủy ban nhân dân cấp tỉnh. Ngày tiếp nhận hồ sơ bổ sung, sửa đổi được ghi trên Phiếu tiếp nhận hồ sơ. Nếu quá thời hạn trên, hồ sơ đăng ký lưu hành mới sẽ bị hủy bỏ.
Trường hợp cơ sở đăng ký không nộp hồ sơ đúng thời hạn theo quy định vì lý do bất khả kháng như: thiên tai, thảm họa, dịch bệnh, hỏa hoạn,… thì được nộp hồ sơ muộn không quá 12 tháng kể từ ngày hết hạn bổ sung hồ sơ kèm theo văn bản giải trình.
Bước 4: Sau khi có văn bản chấp thuận việc khảo nghiệm, cơ sở đăng ký có trách nhiệm hoàn thành việc khảo nghiệm và nộp Phiếu trả lời kết quả khảo nghiệm vào hồ sơ trong thời hạn 36 tháng kể từ ngày ghi trên văn bản chấp thuận việc khảo nghiệm. Ngày tiếp nhận Phiếu trả lời kết quả khảo nghiệm được ghi trên Phiếu tiếp nhận hồ sơ. Nếu quá thời hạn 36 tháng, hồ sơ đăng ký lưu hành mới sẽ bị hủy bỏ.
Bước 5: Trong thời hạn 30 ngày, kể từ ngày ghi trên Phiếu tiếp nhận hồ sơ, Cơ quan chuyên môn về y tế thuộc Ủy ban nhân dân cấp tỉnh thông báo bằng văn bản cho cơ sở đăng ký về việc yêu cầu sửa đổi, bổ sung hồ sơ hoặc cấp số hoặc không cấp số đăng ký lưu hành.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5.500.000 Đồng</w:t>
              <w:t xml:space="preserve"> (Phí thẩm định đăng ký lưu hành mới)</w:t>
            </w:r>
          </w:p>
        </w:tc>
        <w:tc>
          <w:p/>
          <w:p>
            <w:pPr>
              <w:spacing w:after="0" w:before="0" w:lineRule="auto" w:line="276"/>
              <w:jc w:val="left"/>
            </w:pPr>
            <w:r>
              <w:rPr>
                <w:rFonts w:ascii="Times New Roman" w:hAnsi="Times New Roman" w:cs="Times New Roman" w:eastAsia="Times New Roman"/>
                <w:b w:val="false"/>
                <w:sz w:val="26"/>
              </w:rPr>
              <w:t>Trường hợp 1: 30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Phí : 1.750.000 Đồng</w:t>
              <w:t xml:space="preserve"> (Phí thẩm định hồ sơ cho phép khảo nghiệm)</w:t>
            </w:r>
          </w:p>
          <w:p>
            <w:pPr>
              <w:spacing w:after="0" w:before="0" w:lineRule="auto" w:line="276"/>
              <w:jc w:val="left"/>
            </w:pPr>
            <w:r>
              <w:rPr>
                <w:rFonts w:ascii="Times New Roman" w:hAnsi="Times New Roman" w:cs="Times New Roman" w:eastAsia="Times New Roman"/>
                <w:b w:val="false"/>
                <w:sz w:val="26"/>
              </w:rPr>
              <w:t>Phí : 5.500.000 Đồng</w:t>
              <w:t xml:space="preserve"> (Phí thẩm định đăng ký lưu hành mới)</w:t>
            </w:r>
          </w:p>
        </w:tc>
        <w:tc>
          <w:p/>
          <w:p>
            <w:pPr>
              <w:spacing w:after="0" w:before="0" w:lineRule="auto" w:line="276"/>
              <w:jc w:val="left"/>
            </w:pPr>
            <w:r>
              <w:rPr>
                <w:rFonts w:ascii="Times New Roman" w:hAnsi="Times New Roman" w:cs="Times New Roman" w:eastAsia="Times New Roman"/>
                <w:b w:val="false"/>
                <w:sz w:val="26"/>
              </w:rPr>
              <w:t>- Trường hợp 2: 60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120 Ngày</w:t>
            </w:r>
          </w:p>
        </w:tc>
        <w:tc>
          <w:p/>
          <w:p>
            <w:pPr>
              <w:spacing w:after="0" w:before="0" w:lineRule="auto" w:line="276"/>
              <w:jc w:val="left"/>
            </w:pPr>
            <w:r>
              <w:rPr>
                <w:rFonts w:ascii="Times New Roman" w:hAnsi="Times New Roman" w:cs="Times New Roman" w:eastAsia="Times New Roman"/>
                <w:b w:val="false"/>
                <w:sz w:val="26"/>
              </w:rPr>
              <w:t>Phí : 1.750.000 Đồng</w:t>
              <w:t xml:space="preserve"> (Phí thẩm định hồ sơ cho phép khảo nghiệm)</w:t>
            </w:r>
          </w:p>
          <w:p>
            <w:pPr>
              <w:spacing w:after="0" w:before="0" w:lineRule="auto" w:line="276"/>
              <w:jc w:val="left"/>
            </w:pPr>
            <w:r>
              <w:rPr>
                <w:rFonts w:ascii="Times New Roman" w:hAnsi="Times New Roman" w:cs="Times New Roman" w:eastAsia="Times New Roman"/>
                <w:b w:val="false"/>
                <w:sz w:val="26"/>
              </w:rPr>
              <w:t>Phí : 5.500.000 Đồng</w:t>
              <w:t xml:space="preserve"> (Phí thẩm định đăng ký lưu hành mới)</w:t>
            </w:r>
          </w:p>
        </w:tc>
        <w:tc>
          <w:p/>
          <w:p>
            <w:pPr>
              <w:spacing w:after="0" w:before="0" w:lineRule="auto" w:line="276"/>
              <w:jc w:val="left"/>
            </w:pPr>
            <w:r>
              <w:rPr>
                <w:rFonts w:ascii="Times New Roman" w:hAnsi="Times New Roman" w:cs="Times New Roman" w:eastAsia="Times New Roman"/>
                <w:b w:val="false"/>
                <w:sz w:val="26"/>
              </w:rPr>
              <w:t>hồ sơ chế phẩm có chứa hoạt chất hoặc có dạng sản phẩm hoặc có phạm vi sử dụng hoặc tác dụng lần đầu đăng ký tại Việt Nam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5.500.000 Đồng</w:t>
              <w:t xml:space="preserve"> (Phí thẩm định đăng ký lưu hành mới)</w:t>
            </w:r>
          </w:p>
        </w:tc>
        <w:tc>
          <w:p/>
          <w:p>
            <w:pPr>
              <w:spacing w:after="0" w:before="0" w:lineRule="auto" w:line="276"/>
              <w:jc w:val="left"/>
            </w:pPr>
            <w:r>
              <w:rPr>
                <w:rFonts w:ascii="Times New Roman" w:hAnsi="Times New Roman" w:cs="Times New Roman" w:eastAsia="Times New Roman"/>
                <w:b w:val="false"/>
                <w:sz w:val="26"/>
              </w:rPr>
              <w:t>Trường hợp 1: 30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Phí : 1.750.000 Đồng</w:t>
              <w:t xml:space="preserve"> (Phí thẩm định hồ sơ cho phép khảo nghiệm)</w:t>
            </w:r>
          </w:p>
          <w:p>
            <w:pPr>
              <w:spacing w:after="0" w:before="0" w:lineRule="auto" w:line="276"/>
              <w:jc w:val="left"/>
            </w:pPr>
            <w:r>
              <w:rPr>
                <w:rFonts w:ascii="Times New Roman" w:hAnsi="Times New Roman" w:cs="Times New Roman" w:eastAsia="Times New Roman"/>
                <w:b w:val="false"/>
                <w:sz w:val="26"/>
              </w:rPr>
              <w:t>Phí : 5.500.000 Đồng</w:t>
              <w:t xml:space="preserve"> (Phí thẩm định đăng ký lưu hành mới)</w:t>
            </w:r>
          </w:p>
        </w:tc>
        <w:tc>
          <w:p/>
          <w:p>
            <w:pPr>
              <w:spacing w:after="0" w:before="0" w:lineRule="auto" w:line="276"/>
              <w:jc w:val="left"/>
            </w:pPr>
            <w:r>
              <w:rPr>
                <w:rFonts w:ascii="Times New Roman" w:hAnsi="Times New Roman" w:cs="Times New Roman" w:eastAsia="Times New Roman"/>
                <w:b w:val="false"/>
                <w:sz w:val="26"/>
              </w:rPr>
              <w:t>- Trường hợp 2: 60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120 Ngày</w:t>
            </w:r>
          </w:p>
        </w:tc>
        <w:tc>
          <w:p/>
          <w:p>
            <w:pPr>
              <w:spacing w:after="0" w:before="0" w:lineRule="auto" w:line="276"/>
              <w:jc w:val="left"/>
            </w:pPr>
            <w:r>
              <w:rPr>
                <w:rFonts w:ascii="Times New Roman" w:hAnsi="Times New Roman" w:cs="Times New Roman" w:eastAsia="Times New Roman"/>
                <w:b w:val="false"/>
                <w:sz w:val="26"/>
              </w:rPr>
              <w:t>Phí : 1.750.000 Đồng</w:t>
              <w:t xml:space="preserve"> (Phí thẩm định hồ sơ cho phép khảo nghiệm)</w:t>
            </w:r>
          </w:p>
          <w:p>
            <w:pPr>
              <w:spacing w:after="0" w:before="0" w:lineRule="auto" w:line="276"/>
              <w:jc w:val="left"/>
            </w:pPr>
            <w:r>
              <w:rPr>
                <w:rFonts w:ascii="Times New Roman" w:hAnsi="Times New Roman" w:cs="Times New Roman" w:eastAsia="Times New Roman"/>
                <w:b w:val="false"/>
                <w:sz w:val="26"/>
              </w:rPr>
              <w:t>Phí : 5.500.000 Đồng</w:t>
              <w:t xml:space="preserve"> (Phí thẩm định đăng ký lưu hành mới)</w:t>
            </w:r>
          </w:p>
        </w:tc>
        <w:tc>
          <w:p/>
          <w:p>
            <w:pPr>
              <w:spacing w:after="0" w:before="0" w:lineRule="auto" w:line="276"/>
              <w:jc w:val="left"/>
            </w:pPr>
            <w:r>
              <w:rPr>
                <w:rFonts w:ascii="Times New Roman" w:hAnsi="Times New Roman" w:cs="Times New Roman" w:eastAsia="Times New Roman"/>
                <w:b w:val="false"/>
                <w:sz w:val="26"/>
              </w:rPr>
              <w:t>hồ sơ chế phẩm có chứa hoạt chất hoặc có dạng sản phẩm hoặc có phạm vi sử dụng hoặc tác dụng lần đầu đăng ký tại Việt Nam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5.500.000 Đồng</w:t>
              <w:t xml:space="preserve"> (Phí thẩm định đăng ký lưu hành mới)</w:t>
            </w:r>
          </w:p>
        </w:tc>
        <w:tc>
          <w:p/>
          <w:p>
            <w:pPr>
              <w:spacing w:after="0" w:before="0" w:lineRule="auto" w:line="276"/>
              <w:jc w:val="left"/>
            </w:pPr>
            <w:r>
              <w:rPr>
                <w:rFonts w:ascii="Times New Roman" w:hAnsi="Times New Roman" w:cs="Times New Roman" w:eastAsia="Times New Roman"/>
                <w:b w:val="false"/>
                <w:sz w:val="26"/>
              </w:rPr>
              <w:t>Trường hợp 1: 30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Phí : 1.750.000 Đồng</w:t>
              <w:t xml:space="preserve"> (Phí thẩm định hồ sơ cho phép khảo nghiệm)</w:t>
            </w:r>
          </w:p>
          <w:p>
            <w:pPr>
              <w:spacing w:after="0" w:before="0" w:lineRule="auto" w:line="276"/>
              <w:jc w:val="left"/>
            </w:pPr>
            <w:r>
              <w:rPr>
                <w:rFonts w:ascii="Times New Roman" w:hAnsi="Times New Roman" w:cs="Times New Roman" w:eastAsia="Times New Roman"/>
                <w:b w:val="false"/>
                <w:sz w:val="26"/>
              </w:rPr>
              <w:t>Phí : 5.500.000 Đồng</w:t>
              <w:t xml:space="preserve"> (Phí thẩm định đăng ký lưu hành mới)</w:t>
            </w:r>
          </w:p>
        </w:tc>
        <w:tc>
          <w:p/>
          <w:p>
            <w:pPr>
              <w:spacing w:after="0" w:before="0" w:lineRule="auto" w:line="276"/>
              <w:jc w:val="left"/>
            </w:pPr>
            <w:r>
              <w:rPr>
                <w:rFonts w:ascii="Times New Roman" w:hAnsi="Times New Roman" w:cs="Times New Roman" w:eastAsia="Times New Roman"/>
                <w:b w:val="false"/>
                <w:sz w:val="26"/>
              </w:rPr>
              <w:t>- Trường hợp 2: 60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120 Ngày</w:t>
            </w:r>
          </w:p>
        </w:tc>
        <w:tc>
          <w:p/>
          <w:p>
            <w:pPr>
              <w:spacing w:after="0" w:before="0" w:lineRule="auto" w:line="276"/>
              <w:jc w:val="left"/>
            </w:pPr>
            <w:r>
              <w:rPr>
                <w:rFonts w:ascii="Times New Roman" w:hAnsi="Times New Roman" w:cs="Times New Roman" w:eastAsia="Times New Roman"/>
                <w:b w:val="false"/>
                <w:sz w:val="26"/>
              </w:rPr>
              <w:t>Phí : 1.750.000 Đồng</w:t>
              <w:t xml:space="preserve"> (Phí thẩm định hồ sơ cho phép khảo nghiệm)</w:t>
            </w:r>
          </w:p>
          <w:p>
            <w:pPr>
              <w:spacing w:after="0" w:before="0" w:lineRule="auto" w:line="276"/>
              <w:jc w:val="left"/>
            </w:pPr>
            <w:r>
              <w:rPr>
                <w:rFonts w:ascii="Times New Roman" w:hAnsi="Times New Roman" w:cs="Times New Roman" w:eastAsia="Times New Roman"/>
                <w:b w:val="false"/>
                <w:sz w:val="26"/>
              </w:rPr>
              <w:t>Phí : 5.500.000 Đồng</w:t>
              <w:t xml:space="preserve"> (Phí thẩm định đăng ký lưu hành mới)</w:t>
            </w:r>
          </w:p>
        </w:tc>
        <w:tc>
          <w:p/>
          <w:p>
            <w:pPr>
              <w:spacing w:after="0" w:before="0" w:lineRule="auto" w:line="276"/>
              <w:jc w:val="left"/>
            </w:pPr>
            <w:r>
              <w:rPr>
                <w:rFonts w:ascii="Times New Roman" w:hAnsi="Times New Roman" w:cs="Times New Roman" w:eastAsia="Times New Roman"/>
                <w:b w:val="false"/>
                <w:sz w:val="26"/>
              </w:rPr>
              <w:t>hồ sơ chế phẩm có chứa hoạt chất hoặc có dạng sản phẩm hoặc có phạm vi sử dụng hoặc tác dụng lần đầu đăng ký tại Việt Nam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đăng ký lưu hành mới: theo Mẫu số 04, Phụ lục I ban hành kèm theo Nghị định số 91/2016/NĐ-CP, Nghị định số 155/2018/NĐ-CP và Nghị định số 129/2024/NĐ-CP. Tài liệu kỹ thuật của chế phẩm: theo mẫu tại Phụ lục V ban hành kèm theo Nghị định số 91/2016/NĐ-CP và Nghị định số 129/2024/NĐ-CP.</w:t>
            </w:r>
          </w:p>
        </w:tc>
        <w:tc>
          <w:p/>
          <w:p>
            <w:pPr>
              <w:spacing w:after="0" w:before="0" w:lineRule="auto" w:line="276"/>
              <w:jc w:val="left"/>
            </w:pPr>
            <w:r>
              <w:rPr>
                <w:rFonts w:ascii="Times New Roman" w:hAnsi="Times New Roman" w:cs="Times New Roman" w:eastAsia="Times New Roman"/>
                <w:b w:val="false"/>
                <w:sz w:val="26"/>
              </w:rPr>
              <w:t>Maubieu.docx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lưu hành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91/2016/NĐ-CP</w:t>
            </w:r>
          </w:p>
        </w:tc>
        <w:tc>
          <w:p/>
          <w:p>
            <w:pPr>
              <w:spacing w:after="0" w:before="0" w:lineRule="auto" w:line="276"/>
              <w:jc w:val="left"/>
            </w:pPr>
            <w:r>
              <w:rPr>
                <w:rFonts w:ascii="Times New Roman" w:hAnsi="Times New Roman" w:cs="Times New Roman" w:eastAsia="Times New Roman"/>
                <w:b w:val="false"/>
                <w:sz w:val="26"/>
              </w:rPr>
              <w:t>Nghị định 91/2016/NĐ-CP-Về quản lý hóa chất, chế phẩm diệt côn trùng, diệt khuẩn dùng trong lĩnh vực gia dụng và y tế</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3613/QĐ-BYT</w:t>
            </w:r>
          </w:p>
        </w:tc>
        <w:tc>
          <w:p/>
          <w:p>
            <w:pPr>
              <w:spacing w:after="0" w:before="0" w:lineRule="auto" w:line="276"/>
              <w:jc w:val="left"/>
            </w:pPr>
            <w:r>
              <w:rPr>
                <w:rFonts w:ascii="Times New Roman" w:hAnsi="Times New Roman" w:cs="Times New Roman" w:eastAsia="Times New Roman"/>
                <w:b w:val="false"/>
                <w:sz w:val="26"/>
              </w:rPr>
              <w:t>Quyết định công bố thủ tục hành chính được sửa đổi, bổ sung trong lĩnh vực Y tế dự phòng quy định tại Nghị định số 129/2024/NĐ-CP ngày 10 tháng 10 năm 2024 của Chính phủ thuộc phạm vi chức năng quản lý của Bộ Y tế</w:t>
            </w:r>
          </w:p>
        </w:tc>
        <w:tc>
          <w:p/>
          <w:p>
            <w:pPr>
              <w:spacing w:after="0" w:before="0" w:lineRule="auto" w:line="276"/>
              <w:jc w:val="left"/>
            </w:pPr>
            <w:r>
              <w:rPr>
                <w:rFonts w:ascii="Times New Roman" w:hAnsi="Times New Roman" w:cs="Times New Roman" w:eastAsia="Times New Roman"/>
                <w:b w:val="false"/>
                <w:sz w:val="26"/>
              </w:rPr>
              <w:t>30-11-2024</w:t>
            </w:r>
          </w:p>
        </w:tc>
        <w:tc>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đối với hồ sơ đăng ký lưu hành:
- Đối với hồ sơ nộp trực tiếp hoặc nộp qua bưu chính công ích: theo quy định tại Điều 26 Nghị định số 91/2016/NĐ-CP được sửa đổi bổ sung tại Nghị định số 155/2018/NĐ-CP và Nghị định số 129/2024/NĐ-CP.
- Đối với hồ sơ đăng ký trực tuyến: theo quy định tại Điều 52 Nghị định số 91/2016/NĐ-CP.
Điều kiện đối với chế phẩm đăng ký lưu hành: theo quy định tại Điều 19 Nghị định số 91/2016/NĐ-CP.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2026-04-30T03:09:36Z</dcterms:created>
  <dc:creator>Apache POI</dc:creator>
</cp:coreProperties>
</file>