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1.013886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2495/QĐ-BYT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chứng nhận lưu hành tự do (CFS) đối với chế phẩm diệt côn trùng, diệt khuẩn dùng trong lĩnh vực gia dụng và y tế xuất khẩu</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Phòng bệnh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Đơn vị đề nghị cấp CFS nộp hồ sơ trực tiếp hoặc gửi hồ sơ qua bưu điện đến cơ quan tiếp nhận hồ sơ. Trường hợp cơ quan tiếp nhận hồ sơ triển khai đăng ký trực tuyến, cơ sở đăng ký nộp hồ sơ trực tuyến.
Bước 2. Sau khi nhận được hồ sơ đề nghị cấp CFS, phí thẩm định hồ sơ, cơ quan tiếp nhận hồ sơ cấp cho đơn vị đề nghị cấp CFS Phiếu tiếp nhận hồ sơ.
Bước 3. Trong thời hạn 03 ngày, kể từ ngày ghi trên Phiếu tiếp nhận hồ sơ, cơ quan tiếp nhận hồ sơ có trách nhiệm thông báo bằng văn bản cho đơn vị đề nghị cấp CFS về việc bổ sung, sửa đổi hồ sơ hoặc đồng ý hoặc không đồng ý cấp CFS cho chế phẩm và nêu rõ lý do.
Bước 4. Trường hợp cơ quan tiếp nhận hồ sơ có văn bản yêu cầu bổ sung, sửa đổi hồ sơ, trong thời hạn 30 ngày kể từ ngày ghi trên văn bản, đơn vị đề nghị cấp CFS phải hoàn chỉnh hồ sơ, giải trình bằng văn bản và gửi đến cơ quan tiếp nhận hồ sơ. Ngày tiếp nhận hồ sơ bổ sung, sửa đổi được ghi trên Phiếu tiếp nhận hồ sơ. Quá thời hạn trên, hồ sơ đề nghị cấp CFS sẽ bị hủy bỏ.
Bước 5. Trường hợp không còn yêu cầu bổ sung, sửa đổi, cơ quan tiếp nhận hồ sơ phải thực hiện việc cấp Giấy chứng nhận lưu hành tự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 Ngày</w:t>
            </w:r>
          </w:p>
        </w:tc>
        <w:tc>
          <w:p/>
          <w:p>
            <w:pPr>
              <w:spacing w:after="0" w:before="0" w:lineRule="auto" w:line="276"/>
              <w:jc w:val="left"/>
            </w:pPr>
            <w:r>
              <w:rPr>
                <w:rFonts w:ascii="Times New Roman" w:hAnsi="Times New Roman" w:cs="Times New Roman" w:eastAsia="Times New Roman"/>
                <w:b w:val="false"/>
                <w:sz w:val="26"/>
              </w:rPr>
              <w:t>Phí : 2.000.000 Đồng</w:t>
            </w:r>
          </w:p>
        </w:tc>
        <w:tc>
          <w:p/>
          <w:p>
            <w:pPr>
              <w:spacing w:after="0" w:before="0" w:lineRule="auto" w:line="276"/>
              <w:jc w:val="left"/>
            </w:pPr>
            <w:r>
              <w:rPr>
                <w:rFonts w:ascii="Times New Roman" w:hAnsi="Times New Roman" w:cs="Times New Roman" w:eastAsia="Times New Roman"/>
                <w:b w:val="false"/>
                <w:sz w:val="26"/>
              </w:rPr>
              <w:t>03 ngày kể từ ngày nhận được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 Ngày</w:t>
            </w:r>
          </w:p>
        </w:tc>
        <w:tc>
          <w:p/>
          <w:p>
            <w:pPr>
              <w:spacing w:after="0" w:before="0" w:lineRule="auto" w:line="276"/>
              <w:jc w:val="left"/>
            </w:pPr>
            <w:r>
              <w:rPr>
                <w:rFonts w:ascii="Times New Roman" w:hAnsi="Times New Roman" w:cs="Times New Roman" w:eastAsia="Times New Roman"/>
                <w:b w:val="false"/>
                <w:sz w:val="26"/>
              </w:rPr>
              <w:t>Phí : 2.000.000 Đồng</w:t>
            </w:r>
          </w:p>
        </w:tc>
        <w:tc>
          <w:p/>
          <w:p>
            <w:pPr>
              <w:spacing w:after="0" w:before="0" w:lineRule="auto" w:line="276"/>
              <w:jc w:val="left"/>
            </w:pPr>
            <w:r>
              <w:rPr>
                <w:rFonts w:ascii="Times New Roman" w:hAnsi="Times New Roman" w:cs="Times New Roman" w:eastAsia="Times New Roman"/>
                <w:b w:val="false"/>
                <w:sz w:val="26"/>
              </w:rPr>
              <w:t>03 ngày kể từ ngày nhận được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 Ngày</w:t>
            </w:r>
          </w:p>
        </w:tc>
        <w:tc>
          <w:p/>
          <w:p>
            <w:pPr>
              <w:spacing w:after="0" w:before="0" w:lineRule="auto" w:line="276"/>
              <w:jc w:val="left"/>
            </w:pPr>
            <w:r>
              <w:rPr>
                <w:rFonts w:ascii="Times New Roman" w:hAnsi="Times New Roman" w:cs="Times New Roman" w:eastAsia="Times New Roman"/>
                <w:b w:val="false"/>
                <w:sz w:val="26"/>
              </w:rPr>
              <w:t>Phí : 2.000.000 Đồng</w:t>
            </w:r>
          </w:p>
        </w:tc>
        <w:tc>
          <w:p/>
          <w:p>
            <w:pPr>
              <w:spacing w:after="0" w:before="0" w:lineRule="auto" w:line="276"/>
              <w:jc w:val="left"/>
            </w:pPr>
            <w:r>
              <w:rPr>
                <w:rFonts w:ascii="Times New Roman" w:hAnsi="Times New Roman" w:cs="Times New Roman" w:eastAsia="Times New Roman"/>
                <w:b w:val="false"/>
                <w:sz w:val="26"/>
              </w:rPr>
              <w:t>03 ngày kể từ ngày nhận được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cấp CFS thể hiện bằng tiếng Việt và tiếng Anh, nêu rõ tên chế phẩm, mã HS cùa chế phẩm, số đăng ký lưu hành, thành phần, hàm lượng, hoạt chất, nước nhập khẩu hàng hóa theo mẫu đơn đề nghị cấp CFS tại Phụ lục III Nghị định số 148/2025/NĐ-CP ngày 12/6/2025 của Chính phủ (Bản gốc văn bản).</w:t>
            </w:r>
          </w:p>
        </w:tc>
        <w:tc>
          <w:p/>
          <w:p>
            <w:pPr>
              <w:spacing w:after="0" w:before="0" w:lineRule="auto" w:line="276"/>
              <w:jc w:val="left"/>
            </w:pPr>
            <w:r>
              <w:rPr>
                <w:rFonts w:ascii="Times New Roman" w:hAnsi="Times New Roman" w:cs="Times New Roman" w:eastAsia="Times New Roman"/>
                <w:b w:val="false"/>
                <w:sz w:val="26"/>
              </w:rPr>
              <w:t>maudon.docx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chứng nhận đầu tư hoặc giấy chứng nhận đăng ký kinh doanh, giấy chứng nhận đăng ký doanh nghiệp (Bản sao có đóng dấu của đơn vị đề nghị cấp CFS).</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Danh mục các cơ sở sản xuất (nếu có), bao gồm tên, địa chỉ của cơ sở, các mặt hàng sản xuất để xuất khẩu (Bản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chứng nhận đăng ký lưu hành của chế phẩm diệt côn trùng, diệt khuẩn dùng trong lĩnh vực gia dụng và y tế (Bản sao hợp lệ).</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Mẫu nhãn chế phẩm (Mẫu nhãn của tất cả các quy cách đóng gói theo kích thước thực có xác nhận của đơn vị đề nghị cấp CFS).</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Y tế</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lưu hành tự do đối với hế phẩm diệt côn trùng, diệt khuẩn dùng trong lĩnh vực gia dụng và y tế</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69/2018/NĐ-CP</w:t>
            </w:r>
          </w:p>
        </w:tc>
        <w:tc>
          <w:p/>
          <w:p>
            <w:pPr>
              <w:spacing w:after="0" w:before="0" w:lineRule="auto" w:line="276"/>
              <w:jc w:val="left"/>
            </w:pPr>
            <w:r>
              <w:rPr>
                <w:rFonts w:ascii="Times New Roman" w:hAnsi="Times New Roman" w:cs="Times New Roman" w:eastAsia="Times New Roman"/>
                <w:b w:val="false"/>
                <w:sz w:val="26"/>
              </w:rPr>
              <w:t>Nghị định 69/2018/NĐ-CP</w:t>
            </w:r>
          </w:p>
        </w:tc>
        <w:tc>
          <w:p/>
          <w:p>
            <w:pPr>
              <w:spacing w:after="0" w:before="0" w:lineRule="auto" w:line="276"/>
              <w:jc w:val="left"/>
            </w:pPr>
            <w:r>
              <w:rPr>
                <w:rFonts w:ascii="Times New Roman" w:hAnsi="Times New Roman" w:cs="Times New Roman" w:eastAsia="Times New Roman"/>
                <w:b w:val="false"/>
                <w:sz w:val="26"/>
              </w:rPr>
              <w:t>15-05-2018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91/2016/NĐ-CP</w:t>
            </w:r>
          </w:p>
        </w:tc>
        <w:tc>
          <w:p/>
          <w:p>
            <w:pPr>
              <w:spacing w:after="0" w:before="0" w:lineRule="auto" w:line="276"/>
              <w:jc w:val="left"/>
            </w:pPr>
            <w:r>
              <w:rPr>
                <w:rFonts w:ascii="Times New Roman" w:hAnsi="Times New Roman" w:cs="Times New Roman" w:eastAsia="Times New Roman"/>
                <w:b w:val="false"/>
                <w:sz w:val="26"/>
              </w:rPr>
              <w:t>Nghị định 91/2016/NĐ-CP-Về quản lý hóa chất, chế phẩm diệt côn trùng, diệt khuẩn dùng trong lĩnh vực gia dụng và y tế</w:t>
            </w:r>
          </w:p>
        </w:tc>
        <w:tc>
          <w:p/>
          <w:p>
            <w:pPr>
              <w:spacing w:after="0" w:before="0" w:lineRule="auto" w:line="276"/>
              <w:jc w:val="left"/>
            </w:pPr>
            <w:r>
              <w:rPr>
                <w:rFonts w:ascii="Times New Roman" w:hAnsi="Times New Roman" w:cs="Times New Roman" w:eastAsia="Times New Roman"/>
                <w:b w:val="false"/>
                <w:sz w:val="26"/>
              </w:rPr>
              <w:t>01-07-2016</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59/2023/TT-BTC</w:t>
            </w:r>
          </w:p>
        </w:tc>
        <w:tc>
          <w:p/>
          <w:p>
            <w:pPr>
              <w:spacing w:after="0" w:before="0" w:lineRule="auto" w:line="276"/>
              <w:jc w:val="left"/>
            </w:pPr>
            <w:r>
              <w:rPr>
                <w:rFonts w:ascii="Times New Roman" w:hAnsi="Times New Roman" w:cs="Times New Roman" w:eastAsia="Times New Roman"/>
                <w:b w:val="false"/>
                <w:sz w:val="26"/>
              </w:rPr>
              <w:t>Thông tư số 59/2023/TT-BTC ngày 30/8/2023 của Bộ trưởng Bộ Tài chính quy định mức thu, chế độ thu, nộp quản lý và sử dụng phí trong lĩnh vực y tế</w:t>
            </w:r>
          </w:p>
        </w:tc>
        <w:tc>
          <w:p/>
          <w:p>
            <w:pPr>
              <w:spacing w:after="0" w:before="0" w:lineRule="auto" w:line="276"/>
              <w:jc w:val="left"/>
            </w:pPr>
            <w:r>
              <w:rPr>
                <w:rFonts w:ascii="Times New Roman" w:hAnsi="Times New Roman" w:cs="Times New Roman" w:eastAsia="Times New Roman"/>
                <w:b w:val="false"/>
                <w:sz w:val="26"/>
              </w:rPr>
              <w:t>30-08-2023</w:t>
            </w:r>
          </w:p>
        </w:tc>
        <w:tc>
          <w:p/>
          <w:p>
            <w:pPr>
              <w:spacing w:after="0" w:before="0" w:lineRule="auto" w:line="276"/>
              <w:jc w:val="left"/>
            </w:pPr>
            <w:r>
              <w:rPr>
                <w:rFonts w:ascii="Times New Roman" w:hAnsi="Times New Roman" w:cs="Times New Roman" w:eastAsia="Times New Roman"/>
                <w:b w:val="false"/>
                <w:sz w:val="26"/>
              </w:rPr>
              <w:t>Bộ trưởng Bộ tài chính</w:t>
            </w:r>
          </w:p>
        </w:tc>
      </w:tr>
      <w:tr>
        <w:tc>
          <w:p/>
          <w:p>
            <w:pPr>
              <w:spacing w:after="0" w:before="0" w:lineRule="auto" w:line="276"/>
              <w:jc w:val="left"/>
            </w:pPr>
            <w:r>
              <w:rPr>
                <w:rFonts w:ascii="Times New Roman" w:hAnsi="Times New Roman" w:cs="Times New Roman" w:eastAsia="Times New Roman"/>
                <w:b w:val="false"/>
                <w:sz w:val="26"/>
              </w:rPr>
              <w:t>148/2025/NĐ-CP</w:t>
            </w:r>
          </w:p>
        </w:tc>
        <w:tc>
          <w:p/>
          <w:p>
            <w:pPr>
              <w:spacing w:after="0" w:before="0" w:lineRule="auto" w:line="276"/>
              <w:jc w:val="left"/>
            </w:pPr>
            <w:r>
              <w:rPr>
                <w:rFonts w:ascii="Times New Roman" w:hAnsi="Times New Roman" w:cs="Times New Roman" w:eastAsia="Times New Roman"/>
                <w:b w:val="false"/>
                <w:sz w:val="26"/>
              </w:rPr>
              <w:t>NGHỊ ĐỊNH  QUY ĐỊNH VỀ PHÂN QUYỀN, PHÂN CẤP TRONG LĨNH VỰC Y TẾ</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2026-04-30T02:51:37Z</dcterms:created>
  <dc:creator>Apache POI</dc:creator>
</cp:coreProperties>
</file>