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1.013878</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2495/QĐ-BYT</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Cấp mới giấy chứng nhận cơ sở xét nghiệm đạt tiêu chuẩn an toàn sinh học cấp III.</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Phòng bệnh</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Bước 1. Cơ sở đề nghị cấp giấy chứng nhận an toàn sinh học (trừ các cơ sở xét nghiệm thuộc thẩm quyền quản lý của Bộ Quốc phòng) gửi Đơn đề nghị cấp Giấy chứng nhận an toàn sinh học theo Mẫu số 02 tại Phụ lục ban hành kèm theo Nghị định số 103/2016/NĐ-CP ngày 01/7/2016 của Chính phủ quy định về bảo đảm an toàn sinh học tại phòng xét nghiệm kèm theo hồ sơ đến cơ quan chuyên môn về y tế thuộc Ủy ban nhân dân cấp tỉnh (cơ quan tiếp nhận hồ sơ).</w:t>
      </w:r>
    </w:p>
    <w:p>
      <w:pPr>
        <w:spacing w:after="0" w:before="0" w:lineRule="auto" w:line="276"/>
        <w:jc w:val="both"/>
      </w:pPr>
      <w:r>
        <w:rPr>
          <w:rFonts w:ascii="Times New Roman" w:hAnsi="Times New Roman" w:cs="Times New Roman" w:eastAsia="Times New Roman"/>
          <w:b w:val="false"/>
          <w:sz w:val="26"/>
        </w:rPr>
        <w:t>Bước 2. Cơ quan tiếp nhận hồ sơ cấp phiếu tiếp nhận hồ sơ theo Mẫu số 06 tại Phụ lục ban hành kèm theo Nghị định số 103/2016/NĐ-CP. Trong thời gian 10 (mười) ngày, kể từ ngày tiếp nhận hồ sơ, cơ quan tiếp nhận hồ sơ thực hiện thẩm định hồ sơ.</w:t>
      </w:r>
    </w:p>
    <w:p>
      <w:pPr>
        <w:spacing w:after="0" w:before="0" w:lineRule="auto" w:line="276"/>
        <w:jc w:val="both"/>
      </w:pPr>
      <w:r>
        <w:rPr>
          <w:rFonts w:ascii="Times New Roman" w:hAnsi="Times New Roman" w:cs="Times New Roman" w:eastAsia="Times New Roman"/>
          <w:b w:val="false"/>
          <w:sz w:val="26"/>
        </w:rPr>
        <w:t>Bước 3. Trường hợp hồ sơ chưa đầy đủ thì trong thời gian 05 (năm) ngày làm việc, kể từ ngày hồ sơ được thẩm định, cơ quan tiếp nhận hồ sơ thông báo bằng văn bản cho cơ sở đề nghị cấp giấy chứng nhận để hoàn chỉnh hồ sơ. Văn bản thông báo phải nêu cụ thể những nội dung cần bổ sung, nội dung cần sửa đổi. Cơ sở đề nghị cấp giấy chứng nhận phải bổ sung, sửa đổi theo đúng những nội dung đã được ghi trong văn bản và gửi về cơ quan tiếp nhận hồ sơ.</w:t>
      </w:r>
    </w:p>
    <w:p>
      <w:pPr>
        <w:spacing w:after="0" w:before="0" w:lineRule="auto" w:line="276"/>
        <w:jc w:val="both"/>
      </w:pPr>
      <w:r>
        <w:rPr>
          <w:rFonts w:ascii="Times New Roman" w:hAnsi="Times New Roman" w:cs="Times New Roman" w:eastAsia="Times New Roman"/>
          <w:b w:val="false"/>
          <w:sz w:val="26"/>
        </w:rPr>
        <w:t>Bước 4. Trường hợp hồ sơ đầy đủ, cơ quan tiếp nhận hồ sơ phải tiến hành thẩm định tại cơ sở xét nghiệm trong thời gian 10 (mười) ngày kể từ ngày hồ sơ được thẩm định.
Trường hợp cơ sở xét nghiệm đáp ứng đầy đủ các điều kiện theo biên bản thẩm định, cơ quan tiếp nhận hồ sơ báo cáo người đứng đầu cơ quan tiếp nhận hồ sơ cấp Giấy chứng nhận an toàn sinh học trong thời hạn 07 (bảy) ngày làm việc theo Mẫu số 07 tại Phụ lục ban hành kèm theo Nghị định số 103/2016/NĐ-CP, kể từ ngày thẩm định tại cơ sở xét nghiệm.
Trường hợp cơ sở xét nghiệm chưa đáp ứng đầy đủ các điều kiện theo biên bản thẩm định, cơ quan tiếp nhận hồ sơ phải thông báo bằng văn bản cho cơ sở đề nghị cấp giấy chứng nhận trong vòng 07 (bảy) ngày làm việc, kể từ ngày thẩm định tại cơ sở xét nghiệm.</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27 Ngày</w:t>
            </w:r>
          </w:p>
        </w:tc>
        <w:tc>
          <w:p/>
          <w:p>
            <w:pPr>
              <w:spacing w:after="0" w:before="0" w:lineRule="auto" w:line="276"/>
              <w:jc w:val="left"/>
            </w:pPr>
            <w:r>
              <w:rPr>
                <w:rFonts w:ascii="Times New Roman" w:hAnsi="Times New Roman" w:cs="Times New Roman" w:eastAsia="Times New Roman"/>
                <w:b w:val="false"/>
                <w:sz w:val="26"/>
              </w:rPr>
              <w:t>Phí : 4.500.000 Đồng</w:t>
            </w:r>
          </w:p>
        </w:tc>
        <w:tc>
          <w:p/>
          <w:p>
            <w:pPr>
              <w:spacing w:after="0" w:before="0" w:lineRule="auto" w:line="276"/>
              <w:jc w:val="left"/>
            </w:pPr>
            <w:r>
              <w:rPr>
                <w:rFonts w:ascii="Times New Roman" w:hAnsi="Times New Roman" w:cs="Times New Roman" w:eastAsia="Times New Roman"/>
                <w:b w:val="false"/>
                <w:sz w:val="26"/>
              </w:rPr>
              <w:t>27 ngày kể từ ngày nhận hồ sơ đầy đủ và hợp lệ</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27 Ngày</w:t>
            </w:r>
          </w:p>
        </w:tc>
        <w:tc>
          <w:p/>
          <w:p>
            <w:pPr>
              <w:spacing w:after="0" w:before="0" w:lineRule="auto" w:line="276"/>
              <w:jc w:val="left"/>
            </w:pPr>
            <w:r>
              <w:rPr>
                <w:rFonts w:ascii="Times New Roman" w:hAnsi="Times New Roman" w:cs="Times New Roman" w:eastAsia="Times New Roman"/>
                <w:b w:val="false"/>
                <w:sz w:val="26"/>
              </w:rPr>
              <w:t>Phí : 4.500.000 Đồng</w:t>
            </w:r>
          </w:p>
        </w:tc>
        <w:tc>
          <w:p/>
          <w:p>
            <w:pPr>
              <w:spacing w:after="0" w:before="0" w:lineRule="auto" w:line="276"/>
              <w:jc w:val="left"/>
            </w:pPr>
            <w:r>
              <w:rPr>
                <w:rFonts w:ascii="Times New Roman" w:hAnsi="Times New Roman" w:cs="Times New Roman" w:eastAsia="Times New Roman"/>
                <w:b w:val="false"/>
                <w:sz w:val="26"/>
              </w:rPr>
              <w:t>27 ngày kể từ ngày nhận hồ sơ đầy đủ và hợp lệ</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27 Ngày</w:t>
            </w:r>
          </w:p>
        </w:tc>
        <w:tc>
          <w:p/>
          <w:p>
            <w:pPr>
              <w:spacing w:after="0" w:before="0" w:lineRule="auto" w:line="276"/>
              <w:jc w:val="left"/>
            </w:pPr>
            <w:r>
              <w:rPr>
                <w:rFonts w:ascii="Times New Roman" w:hAnsi="Times New Roman" w:cs="Times New Roman" w:eastAsia="Times New Roman"/>
                <w:b w:val="false"/>
                <w:sz w:val="26"/>
              </w:rPr>
              <w:t>Phí : 4.500.000 Đồng</w:t>
            </w:r>
          </w:p>
        </w:tc>
        <w:tc>
          <w:p/>
          <w:p>
            <w:pPr>
              <w:spacing w:after="0" w:before="0" w:lineRule="auto" w:line="276"/>
              <w:jc w:val="left"/>
            </w:pPr>
            <w:r>
              <w:rPr>
                <w:rFonts w:ascii="Times New Roman" w:hAnsi="Times New Roman" w:cs="Times New Roman" w:eastAsia="Times New Roman"/>
                <w:b w:val="false"/>
                <w:sz w:val="26"/>
              </w:rPr>
              <w:t>27 ngày kể từ ngày nhận hồ sơ đầy đủ và hợp lệ</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Đơn đề nghị cấp Giấy chứng nhận an toàn sinh học theo Mẫu số 02 tại Phụ lục ban hành kèm theo Nghị định số 103/2016/NĐ-CP.</w:t>
            </w:r>
          </w:p>
        </w:tc>
        <w:tc>
          <w:p/>
          <w:p>
            <w:pPr>
              <w:spacing w:after="0" w:before="0" w:lineRule="auto" w:line="276"/>
              <w:jc w:val="left"/>
            </w:pPr>
            <w:r>
              <w:rPr>
                <w:rFonts w:ascii="Times New Roman" w:hAnsi="Times New Roman" w:cs="Times New Roman" w:eastAsia="Times New Roman"/>
                <w:b w:val="false"/>
                <w:sz w:val="26"/>
              </w:rPr>
              <w:t>MUS234.docx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Bản kê khai nhân sự theo Mẫu số 03 tại Phụ lục ban hành kèm theo Nghị định số 103/2016/NĐ-CP.</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Bản kê khai về thiết bị y tế theo Mẫu số 04 tại Phụ lục ban hành kèm theo Nghị định số 103/2016/NĐ-CP.</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Báo cáo bảo trì, bảo dưỡng đối với các thiết bị xét nghiệm đối với cơ sở xét nghiệm đang hoạt động trước ngày Nghị định số 148/2025/NĐ-CP ngày 12/6/2025 của Chính phủ có hiệu lực thi hành.</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Phương án phòng ngừa, xử lý sự cố an toàn sinh học.</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Bản sao có chứng thực các giấy tờ chứng minh việc thành lập và hoạt động của cơ sở xét nghiệm theo quy định của pháp luật.</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Doanh nghiệp, Tổ chức (không bao gồm doanh nghiệp, HTX)</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Sở Y tế</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Giấy chứng nhận cơ sở xét nghiệm đạt tiêu chuẩn an toàn sinh học cấp III</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Nghị định 103/2016/NĐ-CP</w:t>
            </w:r>
          </w:p>
        </w:tc>
        <w:tc>
          <w:p/>
          <w:p>
            <w:pPr>
              <w:spacing w:after="0" w:before="0" w:lineRule="auto" w:line="276"/>
              <w:jc w:val="left"/>
            </w:pPr>
            <w:r>
              <w:rPr>
                <w:rFonts w:ascii="Times New Roman" w:hAnsi="Times New Roman" w:cs="Times New Roman" w:eastAsia="Times New Roman"/>
                <w:b w:val="false"/>
                <w:sz w:val="26"/>
              </w:rPr>
              <w:t>Nghị định 103/2016/NĐ-CP Quy định về bảo đảm an toàn sinh học tại phòng xét nghiệm</w:t>
            </w:r>
          </w:p>
        </w:tc>
        <w:tc>
          <w:p/>
          <w:p>
            <w:pPr>
              <w:spacing w:after="0" w:before="0" w:lineRule="auto" w:line="276"/>
              <w:jc w:val="left"/>
            </w:pPr>
            <w:r>
              <w:rPr>
                <w:rFonts w:ascii="Times New Roman" w:hAnsi="Times New Roman" w:cs="Times New Roman" w:eastAsia="Times New Roman"/>
                <w:b w:val="false"/>
                <w:sz w:val="26"/>
              </w:rPr>
              <w:t>01-07-2016</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 xml:space="preserve">Luật số 03/2007/QH12 </w:t>
            </w:r>
          </w:p>
        </w:tc>
        <w:tc>
          <w:p/>
          <w:p>
            <w:pPr>
              <w:spacing w:after="0" w:before="0" w:lineRule="auto" w:line="276"/>
              <w:jc w:val="left"/>
            </w:pPr>
            <w:r>
              <w:rPr>
                <w:rFonts w:ascii="Times New Roman" w:hAnsi="Times New Roman" w:cs="Times New Roman" w:eastAsia="Times New Roman"/>
                <w:b w:val="false"/>
                <w:sz w:val="26"/>
              </w:rPr>
              <w:t>hành về phòng, chống bệnh truyền nhiễm</w:t>
            </w:r>
          </w:p>
        </w:tc>
        <w:tc>
          <w:p/>
          <w:p>
            <w:pPr>
              <w:spacing w:after="0" w:before="0" w:lineRule="auto" w:line="276"/>
              <w:jc w:val="left"/>
            </w:pPr>
            <w:r>
              <w:rPr>
                <w:rFonts w:ascii="Times New Roman" w:hAnsi="Times New Roman" w:cs="Times New Roman" w:eastAsia="Times New Roman"/>
                <w:b w:val="false"/>
                <w:sz w:val="26"/>
              </w:rPr>
              <w:t>21-11-2007</w:t>
            </w:r>
          </w:p>
        </w:tc>
        <w:tc>
          <w:p/>
        </w:tc>
      </w:tr>
      <w:tr>
        <w:tc>
          <w:p/>
          <w:p>
            <w:pPr>
              <w:spacing w:after="0" w:before="0" w:lineRule="auto" w:line="276"/>
              <w:jc w:val="left"/>
            </w:pPr>
            <w:r>
              <w:rPr>
                <w:rFonts w:ascii="Times New Roman" w:hAnsi="Times New Roman" w:cs="Times New Roman" w:eastAsia="Times New Roman"/>
                <w:b w:val="false"/>
                <w:sz w:val="26"/>
              </w:rPr>
              <w:t>155/2018/NĐ-CP</w:t>
            </w:r>
          </w:p>
        </w:tc>
        <w:tc>
          <w:p/>
          <w:p>
            <w:pPr>
              <w:spacing w:after="0" w:before="0" w:lineRule="auto" w:line="276"/>
              <w:jc w:val="left"/>
            </w:pPr>
            <w:r>
              <w:rPr>
                <w:rFonts w:ascii="Times New Roman" w:hAnsi="Times New Roman" w:cs="Times New Roman" w:eastAsia="Times New Roman"/>
                <w:b w:val="false"/>
                <w:sz w:val="26"/>
              </w:rPr>
              <w:t>4- Nghị định 155/2018/NĐ-CP ngày 13 tháng 11 năm 2018 của Chính phủ sửa đổi, bổ sung một số quy định liên quan đến điều kiện đầu tư kinh doanh thuộc phạm vi quản lý nhà nước của Bộ Y tế.</w:t>
            </w:r>
          </w:p>
        </w:tc>
        <w:tc>
          <w:p/>
          <w:p>
            <w:pPr>
              <w:spacing w:after="0" w:before="0" w:lineRule="auto" w:line="276"/>
              <w:jc w:val="left"/>
            </w:pPr>
            <w:r>
              <w:rPr>
                <w:rFonts w:ascii="Times New Roman" w:hAnsi="Times New Roman" w:cs="Times New Roman" w:eastAsia="Times New Roman"/>
                <w:b w:val="false"/>
                <w:sz w:val="26"/>
              </w:rPr>
              <w:t>13-11-2018</w:t>
            </w:r>
          </w:p>
        </w:tc>
        <w:tc>
          <w:p/>
        </w:tc>
      </w:tr>
      <w:tr>
        <w:tc>
          <w:p/>
          <w:p>
            <w:pPr>
              <w:spacing w:after="0" w:before="0" w:lineRule="auto" w:line="276"/>
              <w:jc w:val="left"/>
            </w:pPr>
            <w:r>
              <w:rPr>
                <w:rFonts w:ascii="Times New Roman" w:hAnsi="Times New Roman" w:cs="Times New Roman" w:eastAsia="Times New Roman"/>
                <w:b w:val="false"/>
                <w:sz w:val="26"/>
              </w:rPr>
              <w:t>59/2023/TT-BTC</w:t>
            </w:r>
          </w:p>
        </w:tc>
        <w:tc>
          <w:p/>
          <w:p>
            <w:pPr>
              <w:spacing w:after="0" w:before="0" w:lineRule="auto" w:line="276"/>
              <w:jc w:val="left"/>
            </w:pPr>
            <w:r>
              <w:rPr>
                <w:rFonts w:ascii="Times New Roman" w:hAnsi="Times New Roman" w:cs="Times New Roman" w:eastAsia="Times New Roman"/>
                <w:b w:val="false"/>
                <w:sz w:val="26"/>
              </w:rPr>
              <w:t>Thông tư số 59/2023/TT-BTC ngày 30/8/2023 của Bộ trưởng Bộ Tài chính quy định mức thu, chế độ thu, nộp quản lý và sử dụng phí trong lĩnh vực y tế</w:t>
            </w:r>
          </w:p>
        </w:tc>
        <w:tc>
          <w:p/>
          <w:p>
            <w:pPr>
              <w:spacing w:after="0" w:before="0" w:lineRule="auto" w:line="276"/>
              <w:jc w:val="left"/>
            </w:pPr>
            <w:r>
              <w:rPr>
                <w:rFonts w:ascii="Times New Roman" w:hAnsi="Times New Roman" w:cs="Times New Roman" w:eastAsia="Times New Roman"/>
                <w:b w:val="false"/>
                <w:sz w:val="26"/>
              </w:rPr>
              <w:t>30-08-2023</w:t>
            </w:r>
          </w:p>
        </w:tc>
        <w:tc>
          <w:p/>
          <w:p>
            <w:pPr>
              <w:spacing w:after="0" w:before="0" w:lineRule="auto" w:line="276"/>
              <w:jc w:val="left"/>
            </w:pPr>
            <w:r>
              <w:rPr>
                <w:rFonts w:ascii="Times New Roman" w:hAnsi="Times New Roman" w:cs="Times New Roman" w:eastAsia="Times New Roman"/>
                <w:b w:val="false"/>
                <w:sz w:val="26"/>
              </w:rPr>
              <w:t>Bộ trưởng Bộ tài chính</w:t>
            </w:r>
          </w:p>
        </w:tc>
      </w:tr>
      <w:tr>
        <w:tc>
          <w:p/>
          <w:p>
            <w:pPr>
              <w:spacing w:after="0" w:before="0" w:lineRule="auto" w:line="276"/>
              <w:jc w:val="left"/>
            </w:pPr>
            <w:r>
              <w:rPr>
                <w:rFonts w:ascii="Times New Roman" w:hAnsi="Times New Roman" w:cs="Times New Roman" w:eastAsia="Times New Roman"/>
                <w:b w:val="false"/>
                <w:sz w:val="26"/>
              </w:rPr>
              <w:t>42/2025/NĐ-CP</w:t>
            </w:r>
          </w:p>
        </w:tc>
        <w:tc>
          <w:p/>
          <w:p>
            <w:pPr>
              <w:spacing w:after="0" w:before="0" w:lineRule="auto" w:line="276"/>
              <w:jc w:val="left"/>
            </w:pPr>
            <w:r>
              <w:rPr>
                <w:rFonts w:ascii="Times New Roman" w:hAnsi="Times New Roman" w:cs="Times New Roman" w:eastAsia="Times New Roman"/>
                <w:b w:val="false"/>
                <w:sz w:val="26"/>
              </w:rPr>
              <w:t>Nghị định số 42/2025/NĐ-CP của Chính phủ: Quy định chức năng, nhiệm vụ, quyền hạn và cơ cấu tổ chức của Bộ Y tế</w:t>
            </w:r>
          </w:p>
        </w:tc>
        <w:tc>
          <w:p/>
          <w:p>
            <w:pPr>
              <w:spacing w:after="0" w:before="0" w:lineRule="auto" w:line="276"/>
              <w:jc w:val="left"/>
            </w:pPr>
            <w:r>
              <w:rPr>
                <w:rFonts w:ascii="Times New Roman" w:hAnsi="Times New Roman" w:cs="Times New Roman" w:eastAsia="Times New Roman"/>
                <w:b w:val="false"/>
                <w:sz w:val="26"/>
              </w:rPr>
              <w:t>27-02-2025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148/2025/NĐ-CP</w:t>
            </w:r>
          </w:p>
        </w:tc>
        <w:tc>
          <w:p/>
          <w:p>
            <w:pPr>
              <w:spacing w:after="0" w:before="0" w:lineRule="auto" w:line="276"/>
              <w:jc w:val="left"/>
            </w:pPr>
            <w:r>
              <w:rPr>
                <w:rFonts w:ascii="Times New Roman" w:hAnsi="Times New Roman" w:cs="Times New Roman" w:eastAsia="Times New Roman"/>
                <w:b w:val="false"/>
                <w:sz w:val="26"/>
              </w:rPr>
              <w:t>NGHỊ ĐỊNH  QUY ĐỊNH VỀ PHÂN QUYỀN, PHÂN CẤP TRONG LĨNH VỰC Y TẾ</w:t>
            </w:r>
          </w:p>
        </w:tc>
        <w:tc>
          <w:p/>
          <w:p>
            <w:pPr>
              <w:spacing w:after="0" w:before="0" w:lineRule="auto" w:line="276"/>
              <w:jc w:val="left"/>
            </w:pPr>
            <w:r>
              <w:rPr>
                <w:rFonts w:ascii="Times New Roman" w:hAnsi="Times New Roman" w:cs="Times New Roman" w:eastAsia="Times New Roman"/>
                <w:b w:val="false"/>
                <w:sz w:val="26"/>
              </w:rPr>
              <w:t>12-06-2025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64/2025/TT-BTC</w:t>
            </w:r>
          </w:p>
        </w:tc>
        <w:tc>
          <w:p/>
          <w:p>
            <w:pPr>
              <w:spacing w:after="0" w:before="0" w:lineRule="auto" w:line="276"/>
              <w:jc w:val="left"/>
            </w:pPr>
            <w:r>
              <w:rPr>
                <w:rFonts w:ascii="Times New Roman" w:hAnsi="Times New Roman" w:cs="Times New Roman" w:eastAsia="Times New Roman"/>
                <w:b w:val="false"/>
                <w:sz w:val="26"/>
              </w:rPr>
              <w:t>Quy định mức thu, miễn một số khoản phí, lệ phí nhằm hỗ trợ cho doanh nghiệp, người dân</w:t>
            </w:r>
          </w:p>
        </w:tc>
        <w:tc>
          <w:p/>
          <w:p>
            <w:pPr>
              <w:spacing w:after="0" w:before="0" w:lineRule="auto" w:line="276"/>
              <w:jc w:val="left"/>
            </w:pPr>
            <w:r>
              <w:rPr>
                <w:rFonts w:ascii="Times New Roman" w:hAnsi="Times New Roman" w:cs="Times New Roman" w:eastAsia="Times New Roman"/>
                <w:b w:val="false"/>
                <w:sz w:val="26"/>
              </w:rPr>
              <w:t>30-06-2025</w:t>
            </w:r>
          </w:p>
        </w:tc>
        <w:tc>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1. Điều kiện về cơ sở vật chất:
a) Có phòng thực hiện xét nghiệm và phòng đệm;
b) Các Điều kiện quy định tại Điểm a, Điểm b và Điểm d Khoản 1 Điều 6 Nghị định số 103/2016/NĐ-CP;
c) Riêng biệt với các phòng xét nghiệm và khu vực khác của cơ sở xét nghiệm;
d) Phòng xét nghiệm phải kín để bảo đảm tiệt trùng;
đ) Hệ thống cửa ra vào khu vực xét nghiệm phải bảo đảm trong Điều kiện bình thường chỉ mở được cửa phòng đệm hoặc cửa khu vực xét nghiệm trong một thời Điểm;
e) Phòng xét nghiệm có ô kính trong suốt hoặc thiết bị quan sát bên trong khu vực xét nghiệm từ bên ngoài;
g) Hệ thống thông khí phải thiết kế theo nguyên tắc một chiều; không khí ra khỏi khu vực xét nghiệm phải qua bộ lọc không khí hiệu suất lọc cao;
h) Có hệ thống báo động khi áp suất của khu vực xét nghiệm không đạt chuẩn; áp suất khu vực xét nghiệm luôn thấp hơn so với bên ngoài khi khu vực xét nghiệm hoạt động bình thường;
i) Tần suất trao đổi không khí của khu vực xét nghiệm ít nhất là 6 lần/giờ;
k) Hệ thống cấp khí chỉ hoạt động được khi hệ thống thoát khí đã hoạt động và tự động dừng lại khi hệ thống thoát khí ngừng hoạt động;
l) Có thiết bị tắm, rửa trong trường hợp khẩn cấp tại khu vực xét nghiệm;
m) Phòng xét nghiệm có hệ thống liên lạc hai chiều và hệ thống cảnh báo.
2. Điều kiện về trang thiết bị:
a) Các Điều kiện về trang thiết bị quy định tại Điểm a và Điểm b Khoản 2 Điều 5 Nghị định số 103/2016/NĐ-CP;
b) Có tủ an toàn sinh học cấp II trở lên;
c) Các trang thiết bị bảo hộ cá nhân phù hợp với loại kỹ thuật xét nghiệm thực hiện tại khu vực xét nghiệm an toàn sinh học cấp III.
3. Điều kiện về nhân sự:
a) Số lượng nhân viên: ít nhất 02 nhân viên xét nghiệm và 01 nhân viên kỹ thuật vận hành phòng xét nghiệm. Các nhân viên xét nghiệm phải có văn bằng, chứng chỉ đào tạo phù hợp với loại hình xét nghiệm, nhân viên kỹ thuật vận hành phải có chứng chỉ đào tạo phù hợp với công việc vận hành khu vực xét nghiệm;
b) Điều kiện quy định tại Điểm b Khoản 3 Điều 5 Nghị định số 103/2016/NĐ-CP;
c) Nhân viên xét nghiệm, nhân viên kỹ thuật vận hành khu vực xét nghiệm và người chịu trách nhiệm về an toàn sinh học phải được tập huấn về an toàn sinh học từ cấp III trở lên.
4. Điều kiện về quy định thực hành:
a) Có các quy định theo Khoản 4 Điều 6 Nghị định số 103/2016/NĐ-CP;
b) Có quy trình khử trùng vật liệu, dụng cụ, thiết bị, chất lây nhiễm trước khi mang ra khỏi khu vực xét nghiệm;
c) Có quy trình tiệt trùng khu vực xét nghiệm;
d) Có quy trình xử lý tình huống khẩn cấp trong khu vực xét nghiệm;
đ) Có kế hoạch phòng ngừa, phương án khắc phục và xử lý sự cố an toàn sinh học.</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2026-05-10T17:42:54Z</dcterms:created>
  <dc:creator>Apache POI</dc:creator>
</cp:coreProperties>
</file>