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1.013875</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2495/QĐ-BYT</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Cấp giấy phép nhập khẩu chế phẩm diệt côn trùng, diệt khuẩn dùng trong lĩnh vực gia dụng và y tế để nghiên cứu .</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Phòng bệnh</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Tổ chức, cá nhân đề nghị cấp giấy phép nhập khẩu (sau đây gọi tắt là tổ chức nhập khẩu) nộp hồ sơ đến Cơ quan chuyên môn về y tế thuộc Ủy ban nhân dân cấp tỉnh.
Bước 2. Sau khi nhận được hồ sơ đề nghị cấp giấy phép nhập khẩu đầy đủ, Cơ quan chuyên môn về y tế thuộc Ủy ban nhân dân cấp tỉnh gửi cho tổ chức, cá nhân đề nghị nhập khẩu Phiếu tiếp nhận hồ sơ đề nghị nhập khẩu theo Mẫu số 09 tại Phụ lục III ban hành kèm theo Nghị định số 91/2016/NĐ-CP.
Bước 3. Trường hợp không có yêu cầu bổ sung, sửa đổi hồ sơ đề nghị nhập khẩu, Cơ quan chuyên môn về y tế thuộc Ủy ban nhân dân cấp tỉnh có trách nhiệm cấp giấy phép nhập khẩu trong thời hạn 15 ngày, kể từ ngày ghi trên Phiếu tiếp nhận hồ sơ. Trường hợp không cấp phải có văn bản trả lời và nêu rõ lý do.
Trường hợp hồ sơ đề nghị nhập khẩu chưa hoàn chỉnh thì Cơ quan chuyên môn về y tế thuộc Ủy ban nhân dân cấp tỉnh phải có văn bản thông báo cho tổ chức nhập khẩu để bổ sung, sửa đổi hồ sơ trong thời hạn 15 ngày, kể từ ngày ghi trên Phiếu tiếp nhận hồ sơ đề nghị nhập khẩu. Văn bản thông báo phải nêu rõ nội dung cần bổ sung, sửa đổi.
Bước 4. Trường hợp Cơ quan chuyên môn về y tế thuộc Ủy ban nhân dân cấp tỉnh có văn bản yêu cầu bổ sung, sửa đổi hồ sơ, trong thời hạn 60 ngày, kể từ ngày ghi trên văn bản, tổ chức nhập khẩu phải hoàn chỉnh hồ sơ, giải trình rõ những nội dung bổ sung, sửa đổi bằng văn bản và gửi đến Cơ quan chuyên môn về y tế thuộc Ủy ban nhân dân cấp tỉnh. Ngày tiếp nhận hồ sơ bổ sung, sửa đổi được ghi trên Phiếu tiếp nhận hồ sơ. Nếu quá thời hạn trên, hồ sơ đề nghị nhập khẩu sẽ bị hủy bỏ.</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15 Ngày</w:t>
            </w:r>
          </w:p>
        </w:tc>
        <w:tc>
          <w:p/>
          <w:p>
            <w:pPr>
              <w:spacing w:after="0" w:before="0" w:lineRule="auto" w:line="276"/>
              <w:jc w:val="left"/>
            </w:pPr>
            <w:r>
              <w:rPr>
                <w:rFonts w:ascii="Times New Roman" w:hAnsi="Times New Roman" w:cs="Times New Roman" w:eastAsia="Times New Roman"/>
                <w:b w:val="false"/>
                <w:sz w:val="26"/>
              </w:rPr>
              <w:t>Phí : 1.000.000 Đồng</w:t>
            </w:r>
          </w:p>
        </w:tc>
        <w:tc>
          <w:p/>
          <w:p>
            <w:pPr>
              <w:spacing w:after="0" w:before="0" w:lineRule="auto" w:line="276"/>
              <w:jc w:val="left"/>
            </w:pPr>
            <w:r>
              <w:rPr>
                <w:rFonts w:ascii="Times New Roman" w:hAnsi="Times New Roman" w:cs="Times New Roman" w:eastAsia="Times New Roman"/>
                <w:b w:val="false"/>
                <w:sz w:val="26"/>
              </w:rPr>
              <w:t>15 ngày kể từ ngày nhận được đủ hồ sơ hợp lệ.</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15 Ngày</w:t>
            </w:r>
          </w:p>
        </w:tc>
        <w:tc>
          <w:p/>
          <w:p>
            <w:pPr>
              <w:spacing w:after="0" w:before="0" w:lineRule="auto" w:line="276"/>
              <w:jc w:val="left"/>
            </w:pPr>
            <w:r>
              <w:rPr>
                <w:rFonts w:ascii="Times New Roman" w:hAnsi="Times New Roman" w:cs="Times New Roman" w:eastAsia="Times New Roman"/>
                <w:b w:val="false"/>
                <w:sz w:val="26"/>
              </w:rPr>
              <w:t>Phí : 1.000.000 Đồng</w:t>
            </w:r>
          </w:p>
        </w:tc>
        <w:tc>
          <w:p/>
          <w:p>
            <w:pPr>
              <w:spacing w:after="0" w:before="0" w:lineRule="auto" w:line="276"/>
              <w:jc w:val="left"/>
            </w:pPr>
            <w:r>
              <w:rPr>
                <w:rFonts w:ascii="Times New Roman" w:hAnsi="Times New Roman" w:cs="Times New Roman" w:eastAsia="Times New Roman"/>
                <w:b w:val="false"/>
                <w:sz w:val="26"/>
              </w:rPr>
              <w:t>15 ngày kể từ ngày nhận được đủ hồ sơ hợp lệ.</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15 Ngày</w:t>
            </w:r>
          </w:p>
        </w:tc>
        <w:tc>
          <w:p/>
          <w:p>
            <w:pPr>
              <w:spacing w:after="0" w:before="0" w:lineRule="auto" w:line="276"/>
              <w:jc w:val="left"/>
            </w:pPr>
            <w:r>
              <w:rPr>
                <w:rFonts w:ascii="Times New Roman" w:hAnsi="Times New Roman" w:cs="Times New Roman" w:eastAsia="Times New Roman"/>
                <w:b w:val="false"/>
                <w:sz w:val="26"/>
              </w:rPr>
              <w:t>Phí : 1.000.000 Đồng</w:t>
            </w:r>
          </w:p>
        </w:tc>
        <w:tc>
          <w:p/>
          <w:p>
            <w:pPr>
              <w:spacing w:after="0" w:before="0" w:lineRule="auto" w:line="276"/>
              <w:jc w:val="left"/>
            </w:pPr>
            <w:r>
              <w:rPr>
                <w:rFonts w:ascii="Times New Roman" w:hAnsi="Times New Roman" w:cs="Times New Roman" w:eastAsia="Times New Roman"/>
                <w:b w:val="false"/>
                <w:sz w:val="26"/>
              </w:rPr>
              <w:t>15 ngày kể từ ngày nhận được đủ hồ sơ hợp lệ.</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1. Văn bản đề nghị nhập khẩu theo Mẫu số 09 tại Phụ lục I ban hành kèm theo Nghị định số 91/2016/NĐ-CP và Nghị định số 129/2024/NĐ-CP và Nghị định số 129/2024/NĐ-CP (Bản gốc văn bản).</w:t>
            </w:r>
          </w:p>
        </w:tc>
        <w:tc>
          <w:p/>
          <w:p>
            <w:pPr>
              <w:spacing w:after="0" w:before="0" w:lineRule="auto" w:line="276"/>
              <w:jc w:val="left"/>
            </w:pPr>
            <w:r>
              <w:rPr>
                <w:rFonts w:ascii="Times New Roman" w:hAnsi="Times New Roman" w:cs="Times New Roman" w:eastAsia="Times New Roman"/>
                <w:b w:val="false"/>
                <w:sz w:val="26"/>
              </w:rPr>
              <w:t>maudon.docx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2. Đề cương nghiên cứu có xác nhận của người đại diện theo pháp luật của cơ sở có chức năng nghiên cứu hoặc cơ sở sản xuất đã công bố đủ điều kiện sản xuất (Bản gốc văn bản hoặc bản sao hợp lệ).</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3. Tài liệu kỹ thuật của chế phẩm gồm các nội dung theo quy định tại Phụ lục V ban hành kèm theo Nghị định số 91/2016/NĐ-CP và Nghị định số 129/2024/NĐ-CP và Nghị định 129/2024/NĐ-CP.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Việt Nam định cư ở nước ngoài, Người nước ngoài, Doanh nghiệp, Doanh nghiệp có vốn đầu tư nước ngoài, Tổ chức (không bao gồm doanh nghiệp, HTX), Tổ chức nước ngoài,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Y tế</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phép nhập khẩu hoặc văn bản thông báo không cấp giấy phép nhập khẩu</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91/2016/NĐ-CP</w:t>
            </w:r>
          </w:p>
        </w:tc>
        <w:tc>
          <w:p/>
          <w:p>
            <w:pPr>
              <w:spacing w:after="0" w:before="0" w:lineRule="auto" w:line="276"/>
              <w:jc w:val="left"/>
            </w:pPr>
            <w:r>
              <w:rPr>
                <w:rFonts w:ascii="Times New Roman" w:hAnsi="Times New Roman" w:cs="Times New Roman" w:eastAsia="Times New Roman"/>
                <w:b w:val="false"/>
                <w:sz w:val="26"/>
              </w:rPr>
              <w:t>Nghị định 91/2016/NĐ-CP-Về quản lý hóa chất, chế phẩm diệt côn trùng, diệt khuẩn dùng trong lĩnh vực gia dụng và y tế</w:t>
            </w:r>
          </w:p>
        </w:tc>
        <w:tc>
          <w:p/>
          <w:p>
            <w:pPr>
              <w:spacing w:after="0" w:before="0" w:lineRule="auto" w:line="276"/>
              <w:jc w:val="left"/>
            </w:pPr>
            <w:r>
              <w:rPr>
                <w:rFonts w:ascii="Times New Roman" w:hAnsi="Times New Roman" w:cs="Times New Roman" w:eastAsia="Times New Roman"/>
                <w:b w:val="false"/>
                <w:sz w:val="26"/>
              </w:rPr>
              <w:t>01-07-2016</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59/2023/TT-BTC</w:t>
            </w:r>
          </w:p>
        </w:tc>
        <w:tc>
          <w:p/>
          <w:p>
            <w:pPr>
              <w:spacing w:after="0" w:before="0" w:lineRule="auto" w:line="276"/>
              <w:jc w:val="left"/>
            </w:pPr>
            <w:r>
              <w:rPr>
                <w:rFonts w:ascii="Times New Roman" w:hAnsi="Times New Roman" w:cs="Times New Roman" w:eastAsia="Times New Roman"/>
                <w:b w:val="false"/>
                <w:sz w:val="26"/>
              </w:rPr>
              <w:t>Thông tư số 59/2023/TT-BTC ngày 30/8/2023 của Bộ trưởng Bộ Tài chính quy định mức thu, chế độ thu, nộp quản lý và sử dụng phí trong lĩnh vực y tế</w:t>
            </w:r>
          </w:p>
        </w:tc>
        <w:tc>
          <w:p/>
          <w:p>
            <w:pPr>
              <w:spacing w:after="0" w:before="0" w:lineRule="auto" w:line="276"/>
              <w:jc w:val="left"/>
            </w:pPr>
            <w:r>
              <w:rPr>
                <w:rFonts w:ascii="Times New Roman" w:hAnsi="Times New Roman" w:cs="Times New Roman" w:eastAsia="Times New Roman"/>
                <w:b w:val="false"/>
                <w:sz w:val="26"/>
              </w:rPr>
              <w:t>30-08-2023</w:t>
            </w:r>
          </w:p>
        </w:tc>
        <w:tc>
          <w:p/>
          <w:p>
            <w:pPr>
              <w:spacing w:after="0" w:before="0" w:lineRule="auto" w:line="276"/>
              <w:jc w:val="left"/>
            </w:pPr>
            <w:r>
              <w:rPr>
                <w:rFonts w:ascii="Times New Roman" w:hAnsi="Times New Roman" w:cs="Times New Roman" w:eastAsia="Times New Roman"/>
                <w:b w:val="false"/>
                <w:sz w:val="26"/>
              </w:rPr>
              <w:t>Bộ trưởng Bộ tài chính</w:t>
            </w:r>
          </w:p>
        </w:tc>
      </w:tr>
      <w:tr>
        <w:tc>
          <w:p/>
          <w:p>
            <w:pPr>
              <w:spacing w:after="0" w:before="0" w:lineRule="auto" w:line="276"/>
              <w:jc w:val="left"/>
            </w:pPr>
            <w:r>
              <w:rPr>
                <w:rFonts w:ascii="Times New Roman" w:hAnsi="Times New Roman" w:cs="Times New Roman" w:eastAsia="Times New Roman"/>
                <w:b w:val="false"/>
                <w:sz w:val="26"/>
              </w:rPr>
              <w:t>129/2024/NĐ-CP</w:t>
            </w:r>
          </w:p>
        </w:tc>
        <w:tc>
          <w:p/>
          <w:p>
            <w:pPr>
              <w:spacing w:after="0" w:before="0" w:lineRule="auto" w:line="276"/>
              <w:jc w:val="left"/>
            </w:pPr>
            <w:r>
              <w:rPr>
                <w:rFonts w:ascii="Times New Roman" w:hAnsi="Times New Roman" w:cs="Times New Roman" w:eastAsia="Times New Roman"/>
                <w:b w:val="false"/>
                <w:sz w:val="26"/>
              </w:rPr>
              <w:t>Nghị định sửa đổi, bổ sung một số Điều của Nghị định số 91/2016/NĐ-CP ngày 01 tháng 7 năm 2016 của Chính phủ về quản lý hóa chất, chế phẩm diệt côn trùng, diệt khuẩn dùng trong lĩnh vực gia dụng và y tế; Nghị định số 155/2018/NĐ-CP ngày 12 tháng 11 năm 2018 của Chính phủ sửa đổi, bổ sung một số quy định liên quan đến điều kiện đầu tư kinh doanh thuộc phạm vi quản lý nhà nước của Bộ Y tế</w:t>
            </w:r>
          </w:p>
        </w:tc>
        <w:tc>
          <w:p/>
          <w:p>
            <w:pPr>
              <w:spacing w:after="0" w:before="0" w:lineRule="auto" w:line="276"/>
              <w:jc w:val="left"/>
            </w:pPr>
            <w:r>
              <w:rPr>
                <w:rFonts w:ascii="Times New Roman" w:hAnsi="Times New Roman" w:cs="Times New Roman" w:eastAsia="Times New Roman"/>
                <w:b w:val="false"/>
                <w:sz w:val="26"/>
              </w:rPr>
              <w:t>10-10-2024</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42/2025/NĐ-CP</w:t>
            </w:r>
          </w:p>
        </w:tc>
        <w:tc>
          <w:p/>
          <w:p>
            <w:pPr>
              <w:spacing w:after="0" w:before="0" w:lineRule="auto" w:line="276"/>
              <w:jc w:val="left"/>
            </w:pPr>
            <w:r>
              <w:rPr>
                <w:rFonts w:ascii="Times New Roman" w:hAnsi="Times New Roman" w:cs="Times New Roman" w:eastAsia="Times New Roman"/>
                <w:b w:val="false"/>
                <w:sz w:val="26"/>
              </w:rPr>
              <w:t>Nghị định số 42/2025/NĐ-CP của Chính phủ: Quy định chức năng, nhiệm vụ, quyền hạn và cơ cấu tổ chức của Bộ Y tế</w:t>
            </w:r>
          </w:p>
        </w:tc>
        <w:tc>
          <w:p/>
          <w:p>
            <w:pPr>
              <w:spacing w:after="0" w:before="0" w:lineRule="auto" w:line="276"/>
              <w:jc w:val="left"/>
            </w:pPr>
            <w:r>
              <w:rPr>
                <w:rFonts w:ascii="Times New Roman" w:hAnsi="Times New Roman" w:cs="Times New Roman" w:eastAsia="Times New Roman"/>
                <w:b w:val="false"/>
                <w:sz w:val="26"/>
              </w:rPr>
              <w:t>27-02-2025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148/2025/NĐ-CP</w:t>
            </w:r>
          </w:p>
        </w:tc>
        <w:tc>
          <w:p/>
          <w:p>
            <w:pPr>
              <w:spacing w:after="0" w:before="0" w:lineRule="auto" w:line="276"/>
              <w:jc w:val="left"/>
            </w:pPr>
            <w:r>
              <w:rPr>
                <w:rFonts w:ascii="Times New Roman" w:hAnsi="Times New Roman" w:cs="Times New Roman" w:eastAsia="Times New Roman"/>
                <w:b w:val="false"/>
                <w:sz w:val="26"/>
              </w:rPr>
              <w:t>NGHỊ ĐỊNH  QUY ĐỊNH VỀ PHÂN QUYỀN, PHÂN CẤP TRONG LĨNH VỰC Y TẾ</w:t>
            </w:r>
          </w:p>
        </w:tc>
        <w:tc>
          <w:p/>
          <w:p>
            <w:pPr>
              <w:spacing w:after="0" w:before="0" w:lineRule="auto" w:line="276"/>
              <w:jc w:val="left"/>
            </w:pPr>
            <w:r>
              <w:rPr>
                <w:rFonts w:ascii="Times New Roman" w:hAnsi="Times New Roman" w:cs="Times New Roman" w:eastAsia="Times New Roman"/>
                <w:b w:val="false"/>
                <w:sz w:val="26"/>
              </w:rPr>
              <w:t>12-06-2025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64/2025/TT-BTC</w:t>
            </w:r>
          </w:p>
        </w:tc>
        <w:tc>
          <w:p/>
          <w:p>
            <w:pPr>
              <w:spacing w:after="0" w:before="0" w:lineRule="auto" w:line="276"/>
              <w:jc w:val="left"/>
            </w:pPr>
            <w:r>
              <w:rPr>
                <w:rFonts w:ascii="Times New Roman" w:hAnsi="Times New Roman" w:cs="Times New Roman" w:eastAsia="Times New Roman"/>
                <w:b w:val="false"/>
                <w:sz w:val="26"/>
              </w:rPr>
              <w:t>Quy định mức thu, miễn một số khoản phí, lệ phí nhằm hỗ trợ cho doanh nghiệp, người dân</w:t>
            </w:r>
          </w:p>
        </w:tc>
        <w:tc>
          <w:p/>
          <w:p>
            <w:pPr>
              <w:spacing w:after="0" w:before="0" w:lineRule="auto" w:line="276"/>
              <w:jc w:val="left"/>
            </w:pPr>
            <w:r>
              <w:rPr>
                <w:rFonts w:ascii="Times New Roman" w:hAnsi="Times New Roman" w:cs="Times New Roman" w:eastAsia="Times New Roman"/>
                <w:b w:val="false"/>
                <w:sz w:val="26"/>
              </w:rPr>
              <w:t>30-06-2025</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Yêu cầu đối với hồ sơ đề nghị cấp phép nhập khẩu đăng ký trực tuyến: theo quy định tại Điều 52 Nghị định số 91/2016/NĐ-CP.</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2026-04-30T03:03:16Z</dcterms:created>
  <dc:creator>Apache POI</dc:creator>
</cp:coreProperties>
</file>