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2.002781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sử dụng tần số và thiết bị vô tuyến điện đối với đài vô tuyến điện nghiệp dư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Tần số vô tuyến 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hoàn thiện hồ sơ đề nghị cấp giấy phép sử dụng tần số và thiết bị vô tuyến điện đối với đài vô tuyến điện nghiệp dư theo quy định tại khoản 1 Mục IV Phụ lục II ban hành kèm theo Nghị định số 133/2025/NĐ-CP được sửa đổi, bổ sung bởi Nghị định số 15/2026/NĐ-CP và nộp hồ sơ đến Trung tâm Phục vụ hành chính công cấp tỉnh (Ủy ban nhân dân cấp tỉnh).
- Ủy ban nhân dân cấp tỉnh tiếp nhận, kiểm tra tính hợp lệ của hồ sơ. 
+ Trường hợp hồ sơ chưa đầy đủ, chưa đúng quy định thì trong thời hạn 05 ngày làm việc kể từ ngày nhận được hồ sơ, Ủy ban nhân dân cấp tỉnh có trách nhiệm thông báo, hướng dẫn cho tổ chức, cá nhân để bổ sung, hoàn thiện hồ sơ.
+ Trường hợp hồ sơ đầy đủ, đúng quy định, Ủy ban nhân dân cấp tỉnh cấp giấy phép sử dụng tần số và thiết bị vô tuyến điện đối với đài vô tuyến điện nghiệp dư hoặc từ chối cấp giấy phép và nêu rõ lý do trong thời hạn 11 ngày kể từ ngày nhận được hồ sơ đầy đủ, đúng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11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- 11 ngày kể từ ngày nhận được hồ sơ đầy đủ, đúng quy định.
- Nộp trực tiếp tại Trung tâm Phục vụ hành chính công cấp tỉnh (Ủy ban nhân dân cấp tỉnh).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11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- 11 ngày kể từ ngày nhận được hồ sơ đầy đủ, đúng quy định.
- Nộp trực tiếp tại Trung tâm Phục vụ hành chính công cấp tỉnh (Ủy ban nhân dân cấp tỉnh).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11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- 11 ngày kể từ ngày nhận được hồ sơ đầy đủ, đúng quy định.
- Nộp trực tiếp tại Trung tâm Phục vụ hành chính công cấp tỉnh (Ủy ban nhân dân cấp tỉnh).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thông tin chung và Bản khai thông số kỹ thuật, khai thác 1b đối với đài vô tuyến điện nghiệp dư quy định tại khoản 1 và khoản 2 Phụ lục II.4 ban hành kèm theo Nghị định số 133/2025/NĐ-CP</w:t>
            </w:r>
          </w:p>
        </w:tc>
        <w:tc>
          <w:p/>
          <w:p>
            <w:pPr>
              <w:spacing w:after="0" w:before="0" w:lineRule="auto" w:line="276"/>
              <w:jc w:val="left"/>
            </w:pPr>
            <w:r>
              <w:rPr>
                <w:rFonts w:ascii="Times New Roman" w:hAnsi="Times New Roman" w:cs="Times New Roman" w:eastAsia="Times New Roman"/>
                <w:b w:val="false"/>
                <w:sz w:val="26"/>
              </w:rPr>
              <w:t>maubankhaithongtinchung.docx</w:t>
            </w:r>
          </w:p>
          <w:p>
            <w:pPr>
              <w:spacing w:after="0" w:before="0" w:lineRule="auto" w:line="276"/>
              <w:jc w:val="left"/>
            </w:pPr>
            <w:r>
              <w:rPr>
                <w:rFonts w:ascii="Times New Roman" w:hAnsi="Times New Roman" w:cs="Times New Roman" w:eastAsia="Times New Roman"/>
                <w:b w:val="false"/>
                <w:sz w:val="26"/>
              </w:rPr>
              <w:t>BKmau1b_ND133.docx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nước ngoài đề nghị cấp giấy phép đối với đài vô tuyến điện nghiệp dư được phép nộp bản sao Hộ chiếu còn thời hạn và phải xuất trình bản chính khi nhận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tỉnh (Ủy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 dụng tần số và thiết bị vô tuyến điện (Mẫu 1b quy định tại khoản 7 Phụ lục II.4 ban hành kèm theo Nghị định số 133/2025/NĐ-CP).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265/2016/TT-BTC	</w:t>
            </w:r>
          </w:p>
        </w:tc>
        <w:tc>
          <w:p/>
          <w:p>
            <w:pPr>
              <w:spacing w:after="0" w:before="0" w:lineRule="auto" w:line="276"/>
              <w:jc w:val="left"/>
            </w:pPr>
            <w:r>
              <w:rPr>
                <w:rFonts w:ascii="Times New Roman" w:hAnsi="Times New Roman" w:cs="Times New Roman" w:eastAsia="Times New Roman"/>
                <w:b w:val="false"/>
                <w:sz w:val="26"/>
              </w:rPr>
              <w:t>Thông tư 265/2016/TT-BTC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42/2009/QH12</w:t>
            </w:r>
          </w:p>
        </w:tc>
        <w:tc>
          <w:p/>
          <w:p>
            <w:pPr>
              <w:spacing w:after="0" w:before="0" w:lineRule="auto" w:line="276"/>
              <w:jc w:val="left"/>
            </w:pPr>
            <w:r>
              <w:rPr>
                <w:rFonts w:ascii="Times New Roman" w:hAnsi="Times New Roman" w:cs="Times New Roman" w:eastAsia="Times New Roman"/>
                <w:b w:val="false"/>
                <w:sz w:val="26"/>
              </w:rPr>
              <w:t>Luật 42/2009/QH12</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11/2022/TT-BTC</w:t>
            </w:r>
          </w:p>
        </w:tc>
        <w:tc>
          <w:p/>
          <w:p>
            <w:pPr>
              <w:spacing w:after="0" w:before="0" w:lineRule="auto" w:line="276"/>
              <w:jc w:val="left"/>
            </w:pPr>
            <w:r>
              <w:rPr>
                <w:rFonts w:ascii="Times New Roman" w:hAnsi="Times New Roman" w:cs="Times New Roman" w:eastAsia="Times New Roman"/>
                <w:b w:val="false"/>
                <w:sz w:val="26"/>
              </w:rPr>
              <w:t>Thông tư số 11/2022/TT-BTC ngày 21/02/2022 của Bộ trưởng Bộ Tài chính</w:t>
            </w:r>
          </w:p>
        </w:tc>
        <w:tc>
          <w:p/>
          <w:p>
            <w:pPr>
              <w:spacing w:after="0" w:before="0" w:lineRule="auto" w:line="276"/>
              <w:jc w:val="left"/>
            </w:pPr>
            <w:r>
              <w:rPr>
                <w:rFonts w:ascii="Times New Roman" w:hAnsi="Times New Roman" w:cs="Times New Roman" w:eastAsia="Times New Roman"/>
                <w:b w:val="false"/>
                <w:sz w:val="26"/>
              </w:rPr>
              <w:t>21-02-2022</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09/2022/QH15</w:t>
            </w:r>
          </w:p>
        </w:tc>
        <w:tc>
          <w:p/>
          <w:p>
            <w:pPr>
              <w:spacing w:after="0" w:before="0" w:lineRule="auto" w:line="276"/>
              <w:jc w:val="left"/>
            </w:pPr>
            <w:r>
              <w:rPr>
                <w:rFonts w:ascii="Times New Roman" w:hAnsi="Times New Roman" w:cs="Times New Roman" w:eastAsia="Times New Roman"/>
                <w:b w:val="false"/>
                <w:sz w:val="26"/>
              </w:rPr>
              <w:t>Luật số 09/2022/QH15 của Quốc hội</w:t>
            </w:r>
          </w:p>
        </w:tc>
        <w:tc>
          <w:p/>
          <w:p>
            <w:pPr>
              <w:spacing w:after="0" w:before="0" w:lineRule="auto" w:line="276"/>
              <w:jc w:val="left"/>
            </w:pPr>
            <w:r>
              <w:rPr>
                <w:rFonts w:ascii="Times New Roman" w:hAnsi="Times New Roman" w:cs="Times New Roman" w:eastAsia="Times New Roman"/>
                <w:b w:val="false"/>
                <w:sz w:val="26"/>
              </w:rPr>
              <w:t>09-11-2022</w:t>
            </w:r>
          </w:p>
        </w:tc>
        <w:tc>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quân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14-01-2026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66.16/2026/NQ-CP</w:t>
            </w:r>
          </w:p>
        </w:tc>
        <w:tc>
          <w:p/>
          <w:p>
            <w:pPr>
              <w:spacing w:after="0" w:before="0" w:lineRule="auto" w:line="276"/>
              <w:jc w:val="left"/>
            </w:pPr>
            <w:r>
              <w:rPr>
                <w:rFonts w:ascii="Times New Roman" w:hAnsi="Times New Roman" w:cs="Times New Roman" w:eastAsia="Times New Roman"/>
                <w:b w:val="false"/>
                <w:sz w:val="26"/>
              </w:rPr>
              <w:t>Nghị quyết số 66.16/2026/NQ-CP ngày 07/4/2026 của Chính phủ về Cắt giảm, đơn giản hóa thủ tục hành chính, quy định liên quan đến hoạt động sản xuất, kinh doanh.</w:t>
            </w:r>
          </w:p>
        </w:tc>
        <w:tc>
          <w:p/>
          <w:p>
            <w:pPr>
              <w:spacing w:after="0" w:before="0" w:lineRule="auto" w:line="276"/>
              <w:jc w:val="left"/>
            </w:pPr>
            <w:r>
              <w:rPr>
                <w:rFonts w:ascii="Times New Roman" w:hAnsi="Times New Roman" w:cs="Times New Roman" w:eastAsia="Times New Roman"/>
                <w:b w:val="false"/>
                <w:sz w:val="26"/>
              </w:rPr>
              <w:t>07-04-2026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2026-05-20T21:13:38Z</dcterms:created>
  <dc:creator>Apache POI</dc:creator>
</cp:coreProperties>
</file>