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tác động vào thời tiết trong địa giới hành chính của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Khí tượng, thủy văn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bộ hồ sơ đề nghị thẩm định kế hoạch tác động vào thời tiết trong địa giới hành chính đến Cơ quan được Chủ tịch Ủy ban nhân dân dân cấp tỉnh giao tiếp nhận hồ sơ giải quyết thủ tục hành chính bằng hình thức trực tiếp hoặc môi trường mạng hoặc qua dịch vụ bưu chính.
- Bước 2. Kiểm tra hồ sơ:
Cơ quan được Chủ tịch Ủy ban nhân dân cấp tỉnh giao tiếp nhận hồ sơ giải quyết thủ tục hành chính trả lời ngay tính đầy đủ của hồ sơ đối với trường hợp nộp trực tiếp; trả lời tính đầy đủ của hồ sơ trong 01 ngày làm việc đối với trường hợp nộp hồ sơ qua môi trường mạng hoặc dịch vụ bưu chính bằng văn bản.
- Bước 3. Thẩm định:
Trong thời hạn 16 ngày làm việc kể từ ngày nhận đủ hồ sơ hợp lệ, Cơ quan chuyên môn được Chủ tịch Ủy ban nhân dân cấp tỉnh giao giải quyết thủ tục hành chính tổ chức thẩm định (có thể thành lập Hội đồng thẩm định) hoặc tổ chức kiểm tra thực tế (có thể thành lập đoàn kiểm tra) và trình Chủ tịch Ủy ban nhân dân tỉnh xem xét, quyết định.
- Bước 4. Xem xét và trả lời:
Trong thời hạn 02 ngày làm việc kể từ ngày nhận được hồ sơ trình của Cơ quan chuyên môn được Chủ tịch Ủy ban nhân dân tỉnh giao giải quyết thủ tục hành chính, Chủ tịch Ủy ban nhân dân tỉnh quyết định phê duyệt kế hoạch tác động vào thơi tiết; trường hợp không phê duyệt thì phải có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nộp 01 bộ hồ sơ đề nghị thẩm định kế hoạch tác động vào thời tiết, trong địa giới hành chính đến Cơ quan được Chủ tịch Ủy ban nhân dân dân cấp tỉnh giao tiếp nhận hồ sơ giải quyết thủ tục hành chính bằng hình thức trực tiếp hoặc môi trường mạng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nộp 01 bộ hồ sơ đề nghị thẩm định kế hoạch tác động vào thời tiết, trong địa giới hành chính đến Cơ quan được Chủ tịch Ủy ban nhân dân dân cấp tỉnh giao tiếp nhận hồ sơ giải quyết thủ tục hành chính bằng hình thức trực tiếp hoặc môi trường mạng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nộp 01 bộ hồ sơ đề nghị thẩm định kế hoạch tác động vào thời tiết, trong địa giới hành chính đến Cơ quan được Chủ tịch Ủy ban nhân dân dân cấp tỉnh giao tiếp nhận hồ sơ giải quyết thủ tục hành chính bằng hình thức trực tiếp hoặc môi trường mạng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phê duyệt kế hoạch tác động vào thời tiết được lập theo Mẫu số 03 Phụ lục ban hành kèm theo Thông tư số 21/2025/TT-BNNMT ngày 19 tháng 6 năm 2025 của Bộ trưởng Bộ Nông nghiệp và Môi trường;</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tác động vào thời tiết kèm theo hồ sơ lấy ý kiến của cộng đồng dân cư khu vực trực tiếp chịu ảnh hưởng. Việc xây dựng kế hoạch tác động vào thời tiết và tổ chức lấy ý kiến về kế hoạch tác động vào thời tiết được thực hiện theo quy định tại khoản 2, khoản 3 Điều 3 và khoản 2, khoản 3, khoản 7 Điều 4 Thông tư số 09/2016/TT-BTNMT ngày 16 tháng 5 năm 2016 của Bộ trưởng Bộ Tài nguyên và Môi trường quy định việc xây dựng, thẩm định kế hoạch tác động vào thời tiết; các khoản 1, 2, 4 và 5 Điều 5 Thông tư số 21/2025/TT-BNNMT ngày 19 tháng 6 năm 2025 của Bộ trưởng Bộ Nông nghiệp và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được Chủ tịch Ủy ban nhân dân dân cấp tỉnh giao tiếp nhận hồ sơ giải quyết thủ tục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 hoạch tác động vào thời tiết được thẩm định hoặc văn bản không thông qua kế hoạch tác động vào thời tiết.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90/2015/QH13</w:t>
            </w:r>
          </w:p>
        </w:tc>
        <w:tc>
          <w:p/>
          <w:p>
            <w:pPr>
              <w:spacing w:after="0" w:before="0" w:lineRule="auto" w:line="276"/>
              <w:jc w:val="left"/>
            </w:pPr>
            <w:r>
              <w:rPr>
                <w:rFonts w:ascii="Times New Roman" w:hAnsi="Times New Roman" w:cs="Times New Roman" w:eastAsia="Times New Roman"/>
                <w:b w:val="false"/>
                <w:sz w:val="26"/>
              </w:rPr>
              <w:t>Luật Khí tượng thủy văn</w:t>
            </w:r>
          </w:p>
        </w:tc>
        <w:tc>
          <w:p/>
          <w:p>
            <w:pPr>
              <w:spacing w:after="0" w:before="0" w:lineRule="auto" w:line="276"/>
              <w:jc w:val="left"/>
            </w:pPr>
            <w:r>
              <w:rPr>
                <w:rFonts w:ascii="Times New Roman" w:hAnsi="Times New Roman" w:cs="Times New Roman" w:eastAsia="Times New Roman"/>
                <w:b w:val="false"/>
                <w:sz w:val="26"/>
              </w:rPr>
              <w:t>23-11-2015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09/2016/TT-BTNMT</w:t>
            </w:r>
          </w:p>
        </w:tc>
        <w:tc>
          <w:p/>
          <w:p>
            <w:pPr>
              <w:spacing w:after="0" w:before="0" w:lineRule="auto" w:line="276"/>
              <w:jc w:val="left"/>
            </w:pPr>
            <w:r>
              <w:rPr>
                <w:rFonts w:ascii="Times New Roman" w:hAnsi="Times New Roman" w:cs="Times New Roman" w:eastAsia="Times New Roman"/>
                <w:b w:val="false"/>
                <w:sz w:val="26"/>
              </w:rPr>
              <w:t>Thông tư 09/2016/TT-BTNMT</w:t>
            </w:r>
          </w:p>
        </w:tc>
        <w:tc>
          <w:p/>
          <w:p>
            <w:pPr>
              <w:spacing w:after="0" w:before="0" w:lineRule="auto" w:line="276"/>
              <w:jc w:val="left"/>
            </w:pPr>
            <w:r>
              <w:rPr>
                <w:rFonts w:ascii="Times New Roman" w:hAnsi="Times New Roman" w:cs="Times New Roman" w:eastAsia="Times New Roman"/>
                <w:b w:val="false"/>
                <w:sz w:val="26"/>
              </w:rPr>
              <w:t>16-05-2016</w:t>
            </w:r>
          </w:p>
        </w:tc>
        <w:tc>
          <w:p/>
        </w:tc>
      </w:tr>
      <w:tr>
        <w:tc>
          <w:p/>
          <w:p>
            <w:pPr>
              <w:spacing w:after="0" w:before="0" w:lineRule="auto" w:line="276"/>
              <w:jc w:val="left"/>
            </w:pPr>
            <w:r>
              <w:rPr>
                <w:rFonts w:ascii="Times New Roman" w:hAnsi="Times New Roman" w:cs="Times New Roman" w:eastAsia="Times New Roman"/>
                <w:b w:val="false"/>
                <w:sz w:val="26"/>
              </w:rPr>
              <w:t>11/2022/TT-BTNMT</w:t>
            </w:r>
          </w:p>
        </w:tc>
        <w:tc>
          <w:p/>
          <w:p>
            <w:pPr>
              <w:spacing w:after="0" w:before="0" w:lineRule="auto" w:line="276"/>
              <w:jc w:val="left"/>
            </w:pPr>
            <w:r>
              <w:rPr>
                <w:rFonts w:ascii="Times New Roman" w:hAnsi="Times New Roman" w:cs="Times New Roman" w:eastAsia="Times New Roman"/>
                <w:b w:val="false"/>
                <w:sz w:val="26"/>
              </w:rPr>
              <w:t>Thông tư 11/2022/TT-BTNMT</w:t>
            </w:r>
          </w:p>
        </w:tc>
        <w:tc>
          <w:p/>
          <w:p>
            <w:pPr>
              <w:spacing w:after="0" w:before="0" w:lineRule="auto" w:line="276"/>
              <w:jc w:val="left"/>
            </w:pPr>
            <w:r>
              <w:rPr>
                <w:rFonts w:ascii="Times New Roman" w:hAnsi="Times New Roman" w:cs="Times New Roman" w:eastAsia="Times New Roman"/>
                <w:b w:val="false"/>
                <w:sz w:val="26"/>
              </w:rPr>
              <w:t>20-10-2022</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21/2025/TT-BNNMT</w:t>
            </w:r>
          </w:p>
        </w:tc>
        <w:tc>
          <w:p/>
          <w:p>
            <w:pPr>
              <w:spacing w:after="0" w:before="0" w:lineRule="auto" w:line="276"/>
              <w:jc w:val="left"/>
            </w:pPr>
            <w:r>
              <w:rPr>
                <w:rFonts w:ascii="Times New Roman" w:hAnsi="Times New Roman" w:cs="Times New Roman" w:eastAsia="Times New Roman"/>
                <w:b w:val="false"/>
                <w:sz w:val="26"/>
              </w:rPr>
              <w:t>Thông tư số 21/2025/TT-BNNMT ngày 19 tháng 6 năm 2025 của Bộ trưởng Bộ Nông nghiệp và Môi trường quy định phân cấp, phân định thẩm quyền quản lý nhà nước trong lĩnh vực khí tượng thủy văn.</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2026-05-26T13:53:33Z</dcterms:created>
  <dc:creator>Apache POI</dc:creator>
</cp:coreProperties>
</file>