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tự do (CFS) đối với sản phẩm thực phẩm xuất khẩu thuộc quyền quản lý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01 bộ hồ sơ trực tiếp hoặc qua đường bưu điện hoặc trực tuyến (nếu có áp dụng) đến Cơ quan chuyên môn về y tế thuộc Ủy ban nhân dân cấp tỉnh hoặc cơ quan chuyên môn được Ủy ban nhân dân cấp tỉnh giao nhiệm vụ.
-	Trường hợp hồ sơ chưa đầy đủ, đúng quy định, trong thời hạn 3 ngày làm việc, kể từ ngày tiếp nhận hồ sơ, cơ quan tiếp nhận hồ sơ thông báo để thương nhân hoàn thiện hồ sơ.
-	Thời hạn cấp CFS không quá 03 ngày làm việc, kể từ ngày thương nhân nộp hồ sơ đầy đủ, đúng quy định. Trường hợp không cấp CFS, Cơ quan tiếp nhận hồ sơ có văn bản trả lời nêu rõ lý do.
- Cơ quan tiếp nhận hồ sơ có thể tiến hành kiểm tra tại nơi sản xuất trường hợp nhận thấy việc kiểm tra trên hồ sơ là chưa đủ căn cứ để cấp CFS hoặc phát hiện có dấu hiệu vi phạm quy định đối với CFS đã cấp trước đó.
-Số lượng CFS được cấp cho hàng hóa theo yêu cầu của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(500.000/lần/giấy chứng nhận)</w:t>
            </w:r>
          </w:p>
        </w:tc>
        <w:tc>
          <w:p/>
          <w:p>
            <w:pPr>
              <w:spacing w:after="0" w:before="0" w:lineRule="auto" w:line="276"/>
              <w:jc w:val="left"/>
            </w:pPr>
            <w:r>
              <w:rPr>
                <w:rFonts w:ascii="Times New Roman" w:hAnsi="Times New Roman" w:cs="Times New Roman" w:eastAsia="Times New Roman"/>
                <w:b w:val="false"/>
                <w:sz w:val="26"/>
              </w:rPr>
              <w:t>Thời hạn cấp CFS không quá 3 ngày làm việc, kể từ ngày thương nhân nộp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(500.000/lần/giấy chứng nhận)</w:t>
            </w:r>
          </w:p>
        </w:tc>
        <w:tc>
          <w:p/>
          <w:p>
            <w:pPr>
              <w:spacing w:after="0" w:before="0" w:lineRule="auto" w:line="276"/>
              <w:jc w:val="left"/>
            </w:pPr>
            <w:r>
              <w:rPr>
                <w:rFonts w:ascii="Times New Roman" w:hAnsi="Times New Roman" w:cs="Times New Roman" w:eastAsia="Times New Roman"/>
                <w:b w:val="false"/>
                <w:sz w:val="26"/>
              </w:rPr>
              <w:t>Thời hạn cấp CFS không quá 3 ngày làm việc, kể từ ngày thương nhân nộp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(500.000/lần/giấy chứng nhận)</w:t>
            </w:r>
          </w:p>
        </w:tc>
        <w:tc>
          <w:p/>
          <w:p>
            <w:pPr>
              <w:spacing w:after="0" w:before="0" w:lineRule="auto" w:line="276"/>
              <w:jc w:val="left"/>
            </w:pPr>
            <w:r>
              <w:rPr>
                <w:rFonts w:ascii="Times New Roman" w:hAnsi="Times New Roman" w:cs="Times New Roman" w:eastAsia="Times New Roman"/>
                <w:b w:val="false"/>
                <w:sz w:val="26"/>
              </w:rPr>
              <w:t>Thời hạn cấp CFS không quá 3 ngày làm việc, kể từ ngày thương nhân nộp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đầu tư hoặc giấy chứng nhận đăng ký kinh doanh, giấy chứng nhận đăng ký doanh nghiệp: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(nếu có), bao gồm tên, địa chỉ của cơ sở, các mặt hàng sản xuất để xuất khẩu: 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tiêu chuẩn công bố áp dụng đối với sản phẩm, hàng hóa kèm theo cách thể hiện (trên nhãn hàng hóa hoặc trên bao bì hàng hóa hoặc tài liệu kèm theo sản phẩm, hàng hóa):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Sở An toàn thực phẩm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sản phẩm thực phẩm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Quản lý Ngoại thương</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
2.	Bản tiêu chuẩn công bố áp dụng đối với sản phẩm, hàng hóa kèm theo cách thể hiện (trên nhãn hàng hóa hoặc trên bao bì hàng hóa hoặc tài liệu kèm theo sản phẩm, hàng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2026-05-03T11:19:10Z</dcterms:created>
  <dc:creator>Apache POI</dc:creator>
</cp:coreProperties>
</file>