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thiết bị y tế loại A, 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chức/cá nhân nộp hồ sơ trực tuyến cho Cơ quan chuyên môn về y tế thuộc Ủy ban nhân dân cấp tỉnh trên Cổng thông tin điện tử về quản lý thiết bị y tế;
Bước 2: Trường hợp hồ sơ chưa đầy đủ, đúng quy định, trong thời hạn 3 ngày làm việc, kể từ ngày tiếp nhận hồ sơ, Cơ quan tiếp nhận hồ sơ thông báo để thương nhân hoàn thiện hồ sơ.
Bước 3: Thời hạn cấp CFS không quá 3 ngày làm việc, kể từ ngày thương nhân nộp hồ sơ đầy đủ, đúng quy định. Trường hợp không cấp CFS, Cơ quan tiếp nhận hồ sơ có văn bản trả lời nêu rõ lý do.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
Số lượng CFS được cấp cho hàng hóa theo yêu cầu của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thời điểm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lưu hành tự do</w:t>
            </w:r>
          </w:p>
        </w:tc>
        <w:tc>
          <w:p/>
          <w:p>
            <w:pPr>
              <w:spacing w:after="0" w:before="0" w:lineRule="auto" w:line="276"/>
              <w:jc w:val="left"/>
            </w:pPr>
            <w:r>
              <w:rPr>
                <w:rFonts w:ascii="Times New Roman" w:hAnsi="Times New Roman" w:cs="Times New Roman" w:eastAsia="Times New Roman"/>
                <w:b w:val="false"/>
                <w:sz w:val="26"/>
              </w:rPr>
              <w:t>ncapcfs.docx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1348</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một số giấy tờ trong hồ sơ
a) Văn bản đề nghị cấp giấy chứng nhận lưu hành tự do theo Mẫu số 03 tại Phần 6 Phụ lục IV Nghị định số 148/2025/NĐ-CP.
b) Đối với giấy chứng nhận đạt tiêu chuẩn quản lý chất lượng ISO 13485:
- Nộp bản gốc hoặc bản sao có chứng thực hoặc bản sao có xác nhận của cơ sở đề nghị cấp giấy chứng nhận lưu hành tự do.
- Được cấp bởi tổ chức đánh giá sự phù hợp theo quy định của pháp luật.
- Còn hiệu lực tại thời điểm nộp hồ sơ và bảo đảm luôn còn hiệu lực trong suốt quá trình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2026-05-25T03:33:45Z</dcterms:created>
  <dc:creator>Apache POI</dc:creator>
</cp:coreProperties>
</file>