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3.000447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2075/QĐ-BYT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Tiếp tục cho lưu hành thiết bị y tế trong trường hợp chủ sở hữu thiết bị y tế không tiếp tục sản xuất hoặc phá sản, giải thể đối với thiết bị y tế loại A, B</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Thiết bị y tế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Chủ sở hữu số lưu hành hoặc cơ sở phân phối có trách nhiệm gửi hồ sơ cam kết về Cơ quan chuyên môn về y tế thuộc Ủy ban nhân dân cấp tỉnh trong thời gian chậm nhất là 60 ngày, kể từ ngày chủ sở hữu thiết bị y tế hoặc chủ sở hữu số lưu hành thiết bị y tế tuyên bố không tiếp tục sản xuất hoặc bị phá sản, giải thể.
Bước 2: Trong thời hạn 15 ngày làm việc, kể từ ngày nhận được hồ sơ cam kết theo quy định, Cơ quan chuyên môn về y tế thuộc Ủy ban nhân dân cấp tỉnh có trách nhiệm trả lời bằng văn bản về việc cho phép hay không cho phép tiếp tục lưu hành thiết bị y tế. Trường hợp không cho phép phải nêu rõ lý do.
Bước 3: Trường hợp thiết bị y tế theo quy định không được Cơ quan chuyên môn về y tế thuộc Ủy ban nhân dân cấp tỉnh cho phép tiếp tục lưu hành, chủ sở hữu số lưu hành hoặc cơ sở phân phối có trách nhiệm tiến hành việc thu hồi các thiết bị y tế đang lưu hành trên thị trường, trừ trường hợp các thiết bị y tế đã bán cho người sử dụng.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tiếp tục lưu hành thiết bị y tế và cam kết chịu trách nhiệm bảo hành, bảo dưỡng, cung cấp vật tư phục vụ cho việc sử dụng thiết bị y tế theo mẫu số 01 tại Phần 6 Phụ lục IV Nghị định số 148/2025/NĐ-CP</w:t>
            </w:r>
          </w:p>
        </w:tc>
        <w:tc>
          <w:p/>
          <w:p>
            <w:pPr>
              <w:spacing w:after="0" w:before="0" w:lineRule="auto" w:line="276"/>
              <w:jc w:val="left"/>
            </w:pPr>
            <w:r>
              <w:rPr>
                <w:rFonts w:ascii="Times New Roman" w:hAnsi="Times New Roman" w:cs="Times New Roman" w:eastAsia="Times New Roman"/>
                <w:b w:val="false"/>
                <w:sz w:val="26"/>
              </w:rPr>
              <w:t>PLI.docx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mục các thiết bị y tế có số lưu hành mà cơ sở đang lưu giữ nhưng chủ sở hữu thiết bị y tế hoặc chủ sở hữu số lưu hành thiết bị y tế tuyên bố không tiếp tục sản xuất hoặc bị phá sản, giải thể</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 tỉnh Tây Ninh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cho phép Tiếp tục cho lưu hành trang thiết bị y tế trong trường hợp chủ sở hữu trang thiết bị y tế không tiếp tục sản xuất hoặc phá sản, giải thể</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98/2021/NĐ-CP</w:t>
            </w:r>
          </w:p>
        </w:tc>
        <w:tc>
          <w:p/>
          <w:p>
            <w:pPr>
              <w:spacing w:after="0" w:before="0" w:lineRule="auto" w:line="276"/>
              <w:jc w:val="left"/>
            </w:pPr>
            <w:r>
              <w:rPr>
                <w:rFonts w:ascii="Times New Roman" w:hAnsi="Times New Roman" w:cs="Times New Roman" w:eastAsia="Times New Roman"/>
                <w:b w:val="false"/>
                <w:sz w:val="26"/>
              </w:rPr>
              <w:t>Nghị định 98/2021/NĐ-CP</w:t>
            </w:r>
          </w:p>
        </w:tc>
        <w:tc>
          <w:p/>
          <w:p>
            <w:pPr>
              <w:spacing w:after="0" w:before="0" w:lineRule="auto" w:line="276"/>
              <w:jc w:val="left"/>
            </w:pPr>
            <w:r>
              <w:rPr>
                <w:rFonts w:ascii="Times New Roman" w:hAnsi="Times New Roman" w:cs="Times New Roman" w:eastAsia="Times New Roman"/>
                <w:b w:val="false"/>
                <w:sz w:val="26"/>
              </w:rPr>
              <w:t>08-11-2021</w:t>
            </w:r>
          </w:p>
        </w:tc>
        <w:tc>
          <w:p/>
        </w:tc>
      </w:tr>
      <w:tr>
        <w:tc>
          <w:p/>
          <w:p>
            <w:pPr>
              <w:spacing w:after="0" w:before="0" w:lineRule="auto" w:line="276"/>
              <w:jc w:val="left"/>
            </w:pPr>
            <w:r>
              <w:rPr>
                <w:rFonts w:ascii="Times New Roman" w:hAnsi="Times New Roman" w:cs="Times New Roman" w:eastAsia="Times New Roman"/>
                <w:b w:val="false"/>
                <w:sz w:val="26"/>
              </w:rPr>
              <w:t>19/2021/TT-BYT</w:t>
            </w:r>
          </w:p>
        </w:tc>
        <w:tc>
          <w:p/>
          <w:p>
            <w:pPr>
              <w:spacing w:after="0" w:before="0" w:lineRule="auto" w:line="276"/>
              <w:jc w:val="left"/>
            </w:pPr>
            <w:r>
              <w:rPr>
                <w:rFonts w:ascii="Times New Roman" w:hAnsi="Times New Roman" w:cs="Times New Roman" w:eastAsia="Times New Roman"/>
                <w:b w:val="false"/>
                <w:sz w:val="26"/>
              </w:rPr>
              <w:t>Thông tư 19/2021/TT-BYT</w:t>
            </w:r>
          </w:p>
        </w:tc>
        <w:tc>
          <w:p/>
          <w:p>
            <w:pPr>
              <w:spacing w:after="0" w:before="0" w:lineRule="auto" w:line="276"/>
              <w:jc w:val="left"/>
            </w:pPr>
            <w:r>
              <w:rPr>
                <w:rFonts w:ascii="Times New Roman" w:hAnsi="Times New Roman" w:cs="Times New Roman" w:eastAsia="Times New Roman"/>
                <w:b w:val="false"/>
                <w:sz w:val="26"/>
              </w:rPr>
              <w:t>16-11-2021</w:t>
            </w:r>
          </w:p>
        </w:tc>
        <w:tc>
          <w:p/>
        </w:tc>
      </w:tr>
      <w:tr>
        <w:tc>
          <w:p/>
          <w:p>
            <w:pPr>
              <w:spacing w:after="0" w:before="0" w:lineRule="auto" w:line="276"/>
              <w:jc w:val="left"/>
            </w:pPr>
            <w:r>
              <w:rPr>
                <w:rFonts w:ascii="Times New Roman" w:hAnsi="Times New Roman" w:cs="Times New Roman" w:eastAsia="Times New Roman"/>
                <w:b w:val="false"/>
                <w:sz w:val="26"/>
              </w:rPr>
              <w:t>07/2023/NĐ-CP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03-03-2023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quyết số 96/2023/NQ-HĐND</w:t>
            </w:r>
          </w:p>
        </w:tc>
        <w:tc>
          <w:p/>
          <w:p>
            <w:pPr>
              <w:spacing w:after="0" w:before="0" w:lineRule="auto" w:line="276"/>
              <w:jc w:val="left"/>
            </w:pPr>
            <w:r>
              <w:rPr>
                <w:rFonts w:ascii="Times New Roman" w:hAnsi="Times New Roman" w:cs="Times New Roman" w:eastAsia="Times New Roman"/>
                <w:b w:val="false"/>
                <w:sz w:val="26"/>
              </w:rPr>
              <w:t>Nghị quyết số 96/2023/NQ-HĐND ngày 12/7/2023 của HĐND tỉnh Ninh Bình</w:t>
            </w:r>
          </w:p>
        </w:tc>
        <w:tc>
          <w:p/>
          <w:p>
            <w:pPr>
              <w:spacing w:after="0" w:before="0" w:lineRule="auto" w:line="276"/>
              <w:jc w:val="left"/>
            </w:pPr>
            <w:r>
              <w:rPr>
                <w:rFonts w:ascii="Times New Roman" w:hAnsi="Times New Roman" w:cs="Times New Roman" w:eastAsia="Times New Roman"/>
                <w:b w:val="false"/>
                <w:sz w:val="26"/>
              </w:rPr>
              <w:t>13-02-2025</w:t>
            </w:r>
          </w:p>
        </w:tc>
        <w:tc>
          <w:p/>
          <w:p>
            <w:pPr>
              <w:spacing w:after="0" w:before="0" w:lineRule="auto" w:line="276"/>
              <w:jc w:val="left"/>
            </w:pPr>
            <w:r>
              <w:rPr>
                <w:rFonts w:ascii="Times New Roman" w:hAnsi="Times New Roman" w:cs="Times New Roman" w:eastAsia="Times New Roman"/>
                <w:b w:val="false"/>
                <w:sz w:val="26"/>
              </w:rPr>
              <w:t>Văn phòng Hội đồng Nhân dân tỉnh Ninh Bình</w:t>
            </w:r>
          </w:p>
        </w:tc>
      </w:tr>
      <w:tr>
        <w:tc>
          <w:p/>
          <w:p>
            <w:pPr>
              <w:spacing w:after="0" w:before="0" w:lineRule="auto" w:line="276"/>
              <w:jc w:val="left"/>
            </w:pPr>
            <w:r>
              <w:rPr>
                <w:rFonts w:ascii="Times New Roman" w:hAnsi="Times New Roman" w:cs="Times New Roman" w:eastAsia="Times New Roman"/>
                <w:b w:val="false"/>
                <w:sz w:val="26"/>
              </w:rPr>
              <w:t>148/2025/NĐ-CP</w:t>
            </w:r>
          </w:p>
        </w:tc>
        <w:tc>
          <w:p/>
          <w:p>
            <w:pPr>
              <w:spacing w:after="0" w:before="0" w:lineRule="auto" w:line="276"/>
              <w:jc w:val="left"/>
            </w:pPr>
            <w:r>
              <w:rPr>
                <w:rFonts w:ascii="Times New Roman" w:hAnsi="Times New Roman" w:cs="Times New Roman" w:eastAsia="Times New Roman"/>
                <w:b w:val="false"/>
                <w:sz w:val="26"/>
              </w:rPr>
              <w:t>NGHỊ ĐỊNH  QUY ĐỊNH VỀ PHÂN QUYỀN, PHÂN CẤP TRONG LĨNH VỰC Y TẾ</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Yêu cầu đối với một số giấy tờ trong bộ hồ sơ:
Văn bản đề nghị tiếp tục lưu hành thiết bị y tế và cam kết chịu trách nhiệm bảo hành, bảo dưỡng, cung cấp vật tư phục vụ cho việc sử dụng thiết bị y tế theo Mẫu số 01 tại Phần 6 Phụ lục IV Nghị định số 148/2025/NĐ-CP;
Điều kiện xử lý đối với các thiết bị y tế khi chủ sở hữu thiết bị y tế hoặc chủ sở hữu số lưu hành thiết bị y tế không tiếp tục sản xuất hoặc bị phá sản, giải thể
1. Thiết bị y tế đã được cấp số lưu hành nhưng chủ sở hữu thiết bị y tế tuyên bố không tiếp tục sản xuất hoặc bị phá sản, giải thể được tiếp tục lưu hành trong thời gian tối đa không quá 24 tháng, kể từ thời điểm chủ sở hữu thiết bị y tế tuyên bố không tiếp tục sản xuất hoặc bị phá sản, giải thể nếu chủ sở hữu số lưu hành tại Việt Nam có cam kết chịu trách nhiệm bảo hành, bảo dưỡng cũng như cung cấp các vật tư để thay thế hoặc phục vụ cho việc sử dụng thiết bị y tế trong thời gian 08 năm, trừ trường hợp chủ sở hữu số lưu hành là Văn phòng đại diện thường trú tại Việt Nam của thương nhân nước ngoài mà thương nhân đó là chủ sở hữu thiết bị y tế.
2. Thiết bị y tế đã được cấp số lưu hành nhưng chủ sở hữu số lưu hành thiết bị y tế bị phá sản, giải thể được tiếp tục lưu hành trên thị trường trong thời gian tối đa không quá 24 tháng, kể từ thời điểm chủ sở hữu số lưu hành thiết bị y tế tuyên bố phá sản, giải thể nếu cơ sở phân phối có cam kết chịu trách nhiệm bảo hành, bảo dưỡng cũng như cung cấp các vật tư để thay thế hoặc phục vụ cho việc sử dụng thiết bị y tế trong thời gian tối đa là 08 năm.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2026-05-10T17:46:42Z</dcterms:created>
  <dc:creator>Apache POI</dc:creator>
</cp:coreProperties>
</file>