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Lấy ý kiến về tác động của công trình khai thác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Tài nguyên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nộp các tài liệu có nội dung thông tin theo quy định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 Bước 2: Tiếp nhận, kiểm tra hồ sơ:
Bộ phận Một cửa có trách nhiệm tiếp nhận hồ sơ, kiểm tra, xem xét tính đầy đủ, hợp lệ của hồ sơ.
+ Trường hợp hồ sơ không hợp lệ, Bộ phận Một cửa trả lại hồ sơ và thông báo rõ lý do cho chủ giấy phép. 
+ Trường hợp hồ sơ hợp lệ, Bộ phận Một cửa chuyển hồ sơ cho Sở Nông nghiệp và Môi trường để tổ chức lấy ý kiến.</w:t>
      </w:r>
    </w:p>
    <w:p>
      <w:pPr>
        <w:spacing w:after="0" w:before="0" w:lineRule="auto" w:line="276"/>
        <w:jc w:val="both"/>
      </w:pPr>
      <w:r>
        <w:rPr>
          <w:rFonts w:ascii="Times New Roman" w:hAnsi="Times New Roman" w:cs="Times New Roman" w:eastAsia="Times New Roman"/>
          <w:b w:val="false"/>
          <w:sz w:val="26"/>
        </w:rPr>
        <w:t>- Bước 3: Tổ chức lấy ý kiến:
Kể từ ngày nhận đủ hồ sơ hợp lệ, trong thời hạn 20 ngày làm việc, Sở Nông nghiệp và Môi trường tổ chức các buổi làm việc, cuộc họp, đối thoại trực tiếp hoặc lấy ý kiến bằng văn bản với các cơ quan, tổ chức, cá nhân có liên quan để cho ý kiến về công trình dự kiến xây dựng đề nghị tổ chức, cá nhân đầu tư dự án cung cấp bổ sung các số liệu, báo cáo, thông tin về dự án.
Trong thời hạn 05 ngày làm việc, kể từ ngày nhận được ý kiến, Sở Nông nghiệp và Môi trường tổng hợp các ý kiến và có văn bản gửi cho tổ chức, cá nhân đầu tư dự án.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Tổ chức, cá nhân nộp các tài liệu có nội dung thông tin theo quy định trực tiếp hoặc thông qua dịch vụ bưu chính hoặc qua ủy quyền theo quy định của pháp luật đến Bộ phận Một cửa hoặc trực tuyến tại Cổng Dịch vụ công quốc gia
- Trả kết quả giải quyết thủ tục hành chính: Sở Nông nghiệp và Môi trường có văn bản trả lời góp ý cho tổ chức, cá nhân.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Tổ chức, cá nhân nộp các tài liệu có nội dung thông tin theo quy định trực tiếp hoặc thông qua dịch vụ bưu chính hoặc qua ủy quyền theo quy định của pháp luật đến Bộ phận Một cửa hoặc trực tuyến tại Cổng Dịch vụ công quốc gia
- Trả kết quả giải quyết thủ tục hành chính: Sở Nông nghiệp và Môi trường có văn bản trả lời góp ý cho tổ chức, cá nhân.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26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Nộp hồ sơ: Tổ chức, cá nhân nộp các tài liệu có nội dung thông tin theo quy định trực tiếp hoặc thông qua dịch vụ bưu chính hoặc qua ủy quyền theo quy định của pháp luật đến Bộ phận Một cửa hoặc trực tuyến tại Cổng Dịch vụ công quốc gia
- Trả kết quả giải quyết thủ tục hành chính: Sở Nông nghiệp và Môi trường có văn bản trả lời góp ý cho tổ chức, cá nhân.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Thông tin tổng thể của dự án; kế hoạch, tiến độ triển khai dự án kèm theo văn bản, tài liệu pháp lý liên quan đến đầu tư, xây dựng dự án, thời gian dự kiến vận hành khai thác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Thuyết minh phương án khai thác tài nguyên nước của dự án, trong đó thể hiện đầy đủ các thông tin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kiến tác động và các biện pháp giảm thiểu tác động của việc vận hành khai thác của công trình đến nguồn nước, môi trường, các đối tượng khai thác, sử dụng nước và đối tượng khác có khả năng bị ảnh hưởng trong quá trình xây dựng, vận hành công trình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số liệu, tài liệu khác liên quan đến việc khai thác nước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Sở Nông nghiệp và Môi trường tổng hợp các ý kiến và có văn bản gửi cho tổ chức, cá nhân đầu tư dự án.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28/2023/QH15</w:t>
            </w:r>
          </w:p>
        </w:tc>
        <w:tc>
          <w:p/>
          <w:p>
            <w:pPr>
              <w:spacing w:after="0" w:before="0" w:lineRule="auto" w:line="276"/>
              <w:jc w:val="left"/>
            </w:pPr>
            <w:r>
              <w:rPr>
                <w:rFonts w:ascii="Times New Roman" w:hAnsi="Times New Roman" w:cs="Times New Roman" w:eastAsia="Times New Roman"/>
                <w:b w:val="false"/>
                <w:sz w:val="26"/>
              </w:rPr>
              <w:t>Luật Tài nguyên nước năm 2023</w:t>
            </w:r>
          </w:p>
        </w:tc>
        <w:tc>
          <w:p/>
          <w:p>
            <w:pPr>
              <w:spacing w:after="0" w:before="0" w:lineRule="auto" w:line="276"/>
              <w:jc w:val="left"/>
            </w:pPr>
            <w:r>
              <w:rPr>
                <w:rFonts w:ascii="Times New Roman" w:hAnsi="Times New Roman" w:cs="Times New Roman" w:eastAsia="Times New Roman"/>
                <w:b w:val="false"/>
                <w:sz w:val="26"/>
              </w:rPr>
              <w:t>27-11-2023</w:t>
            </w:r>
          </w:p>
        </w:tc>
        <w:tc>
          <w:p/>
        </w:tc>
      </w:tr>
      <w:tr>
        <w:tc>
          <w:p/>
          <w:p>
            <w:pPr>
              <w:spacing w:after="0" w:before="0" w:lineRule="auto" w:line="276"/>
              <w:jc w:val="left"/>
            </w:pPr>
            <w:r>
              <w:rPr>
                <w:rFonts w:ascii="Times New Roman" w:hAnsi="Times New Roman" w:cs="Times New Roman" w:eastAsia="Times New Roman"/>
                <w:b w:val="false"/>
                <w:sz w:val="26"/>
              </w:rPr>
              <w:t>54/2024/NĐ-CP</w:t>
            </w:r>
          </w:p>
        </w:tc>
        <w:tc>
          <w:p/>
          <w:p>
            <w:pPr>
              <w:spacing w:after="0" w:before="0" w:lineRule="auto" w:line="276"/>
              <w:jc w:val="left"/>
            </w:pPr>
            <w:r>
              <w:rPr>
                <w:rFonts w:ascii="Times New Roman" w:hAnsi="Times New Roman" w:cs="Times New Roman" w:eastAsia="Times New Roman"/>
                <w:b w:val="false"/>
                <w:sz w:val="26"/>
              </w:rPr>
              <w:t>QUY ĐỊNH VIỆC HÀNH NGHỀ KHOAN NƯỚC DƯỚI ĐẤT, KÊ KHAI, ĐĂNG KÝ, CẤP PHÉP, DỊCH VỤ TÀI NGUYÊN NƯỚC VÀ TIỀN CẤP QUYỀN KHAI THÁC TÀI NGUYÊN NƯỚC</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131/2025/NĐ-CP</w:t>
            </w:r>
          </w:p>
        </w:tc>
        <w:tc>
          <w:p/>
          <w:p>
            <w:pPr>
              <w:spacing w:after="0" w:before="0" w:lineRule="auto" w:line="276"/>
              <w:jc w:val="left"/>
            </w:pPr>
            <w:r>
              <w:rPr>
                <w:rFonts w:ascii="Times New Roman" w:hAnsi="Times New Roman" w:cs="Times New Roman" w:eastAsia="Times New Roman"/>
                <w:b w:val="false"/>
                <w:sz w:val="26"/>
              </w:rPr>
              <w:t>Quy định phân định thẩm quyền của chính quyền địa phương 02 cấp trong lĩnh vực quản lý nhà nước của Bộ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 điều kiện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2026-05-25T07:53:29Z</dcterms:created>
  <dc:creator>Apache POI</dc:creator>
</cp:coreProperties>
</file>