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1.003605.H50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khuyến nông địa phương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01 bộ hồ sơ về cơ quan quản lý nhà nước về khuyến nông Huyện trước ngày 30/9 hàng năm;</w:t>
      </w:r>
    </w:p>
    <w:p>
      <w:pPr>
        <w:spacing w:after="0" w:before="0" w:lineRule="auto" w:line="276"/>
        <w:jc w:val="both"/>
      </w:pPr>
      <w:r>
        <w:rPr>
          <w:rFonts w:ascii="Times New Roman" w:hAnsi="Times New Roman" w:cs="Times New Roman" w:eastAsia="Times New Roman"/>
          <w:b w:val="false"/>
          <w:sz w:val="26"/>
        </w:rPr>
        <w:t>Bước 2: Cơ quan quản lý nhà nước về khuyến nông ở Huyện tổ chức thẩm định nội dung, dự toán kinh phí và trình Ủy ban nhân dân cấp Huyện trước ngày 15/11 hàng năm;</w:t>
      </w:r>
    </w:p>
    <w:p>
      <w:pPr>
        <w:spacing w:after="0" w:before="0" w:lineRule="auto" w:line="276"/>
        <w:jc w:val="both"/>
      </w:pPr>
      <w:r>
        <w:rPr>
          <w:rFonts w:ascii="Times New Roman" w:hAnsi="Times New Roman" w:cs="Times New Roman" w:eastAsia="Times New Roman"/>
          <w:b w:val="false"/>
          <w:sz w:val="26"/>
        </w:rPr>
        <w:t>Bước 3: Ủy ban nhân dân cấp Huyện hoặc phân cấp cho cơ quan trực thuộc do Huyệnphân công phê duyệt kế hoạch khuyến nông trước ngày 30/11 hàng năm và công bố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Trước ngày 30/11</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xuất kế hoạch khuyến nông; + Dự toán kinh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kế hoạch khuyến nông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83/2018/NĐ-CP	</w:t>
            </w:r>
          </w:p>
        </w:tc>
        <w:tc>
          <w:p/>
          <w:p>
            <w:pPr>
              <w:spacing w:after="0" w:before="0" w:lineRule="auto" w:line="276"/>
              <w:jc w:val="left"/>
            </w:pPr>
            <w:r>
              <w:rPr>
                <w:rFonts w:ascii="Times New Roman" w:hAnsi="Times New Roman" w:cs="Times New Roman" w:eastAsia="Times New Roman"/>
                <w:b w:val="false"/>
                <w:sz w:val="26"/>
              </w:rPr>
              <w:t>Nghị định 83/2018/NĐ-CP</w:t>
            </w:r>
          </w:p>
        </w:tc>
        <w:tc>
          <w:p/>
          <w:p>
            <w:pPr>
              <w:spacing w:after="0" w:before="0" w:lineRule="auto" w:line="276"/>
              <w:jc w:val="left"/>
            </w:pPr>
            <w:r>
              <w:rPr>
                <w:rFonts w:ascii="Times New Roman" w:hAnsi="Times New Roman" w:cs="Times New Roman" w:eastAsia="Times New Roman"/>
                <w:b w:val="false"/>
                <w:sz w:val="26"/>
              </w:rPr>
              <w:t>24-05-2018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1597/QĐ-BNNMT</w:t>
            </w:r>
          </w:p>
        </w:tc>
        <w:tc>
          <w:p/>
          <w:p>
            <w:pPr>
              <w:spacing w:after="0" w:before="0" w:lineRule="auto" w:line="276"/>
              <w:jc w:val="left"/>
            </w:pPr>
            <w:r>
              <w:rPr>
                <w:rFonts w:ascii="Times New Roman" w:hAnsi="Times New Roman" w:cs="Times New Roman" w:eastAsia="Times New Roman"/>
                <w:b w:val="false"/>
                <w:sz w:val="26"/>
              </w:rPr>
              <w:t>Về việc công bố chuẩn hóa thủ tục hành chính lĩnh vực khoa học và công nghệ, nông nghiệp thuộc phạm vi chức năng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23-05-2025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2026-05-02T10:27:41Z</dcterms:created>
  <dc:creator>Apache POI</dc:creator>
</cp:coreProperties>
</file>