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1.013634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chi nhánh doanh nghiệp đấu giá tài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giá tài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chi nhánh doanh nghiệp đấu giá tài sản thay đổi địa chỉ trụ sở trong phạm vi tỉnh, thành phố trực thuộc Trung ương, thay đổi Trưởng chi nhánh thì thực hiện như sau:</w:t>
      </w:r>
    </w:p>
    <w:p>
      <w:pPr>
        <w:spacing w:after="0" w:before="0" w:lineRule="auto" w:line="276"/>
        <w:jc w:val="both"/>
      </w:pPr>
      <w:r>
        <w:rPr>
          <w:rFonts w:ascii="Times New Roman" w:hAnsi="Times New Roman" w:cs="Times New Roman" w:eastAsia="Times New Roman"/>
          <w:b w:val="false"/>
          <w:sz w:val="26"/>
        </w:rPr>
        <w:t>+ Trong thời hạn 10 ngày làm việc kể từ ngày quyết định thay đổi, doanh nghiệp đấu giá tài sản gửi giấy đề nghị thay đổi đến Sở Tư pháp nơi chi nhánh của doanh nghiệp đăng ký hoạt động; trường hợp thay đổi Trưởng chi nhánh thì gửi kèm theo bản sao có chứng thực, bản sao chứng thực điện tử hoặc bản sao kèm bản chính để đối chiếu Chứng chỉ hành nghề đấu giá của Trưởng chi nhánh.
+ Trong thời hạn 05 ngày làm việc kể từ ngày nhận được giấy đề nghị thay đổi, Sở Tư pháp quyết định thay đổi nội dung đăng ký hoạt động và cấp lại Giấy đăng ký hoạt động cho chi nhánh của doanh nghiệp đấu giá tài sản; trường hợp từ chối thì phải thông báo lý do bằng văn bản. Doanh nghiệp bị từ chối thay đổi nội dung đăng ký hoạt động cho chi nhánh có quyền khiếu nại, khởi kiện theo quy định của pháp luật.</w:t>
      </w:r>
    </w:p>
    <w:p>
      <w:pPr>
        <w:shd w:val="clear" w:color="auto" w:fill="F2F6F9"/>
        <w:spacing w:after="0" w:before="120" w:lineRule="auto" w:line="276"/>
        <w:jc w:val="both"/>
      </w:pPr>
      <w:r>
        <w:rPr>
          <w:rFonts w:ascii="Times New Roman" w:hAnsi="Times New Roman" w:cs="Times New Roman" w:eastAsia="Times New Roman"/>
          <w:b w:val="true"/>
          <w:sz w:val="26"/>
        </w:rPr>
        <w:t>-  Trường hợp chi nhánh của doanh nghiệp đấu giá tài sản thay đổi địa chỉ trụ sở từ tỉnh, thành phố trực thuộc Trung ương này sang tỉnh, thành phố trực thuộc Trung ương khác thì thực hiện như sau:</w:t>
      </w:r>
    </w:p>
    <w:p>
      <w:pPr>
        <w:spacing w:after="0" w:before="0" w:lineRule="auto" w:line="276"/>
        <w:jc w:val="both"/>
      </w:pPr>
      <w:r>
        <w:rPr>
          <w:rFonts w:ascii="Times New Roman" w:hAnsi="Times New Roman" w:cs="Times New Roman" w:eastAsia="Times New Roman"/>
          <w:b w:val="false"/>
          <w:sz w:val="26"/>
        </w:rPr>
        <w:t>+ Trong thời hạn 10 ngày làm việc kể từ ngày quyết định thay đổi, doanh nghiệp đấu giá tài sản gửi thông báo thay đổi địa chỉ trụ sở của chi nhánh cho Sở Tư pháp nơi chi nhánh đăng ký hoạt động và gửi giấy đề nghị thay đổi địa chỉ trụ sở kèm theo bản sao có chứng thực, bản sao chứng thực điện tử hoặc bản sao kèm bản chính để đối chiếu Giấy đăng ký hoạt động của chi nhánh đã được cấp;
+ Trong thời hạn 05 ngày làm việc kể từ ngày nhận đủ hồ sơ hợp lệ, Sở Tư pháp nơi chi nhánh đặt trụ sở mới cấp Giấy đăng ký hoạt động cho chi nhánh; gửi thông báo cho Sở Tư pháp nơi chi nhánh đặt trụ sở cũ; trường hợp từ chối thì phải thông báo lý do bằng văn bản. Doanh nghiệp bị từ chối cấp Giấy đăng ký hoạt động cho chi nhánh có quyền khiếu nại, khởi kiện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Chi nhánh doanh nghiệp đấu giá tài sản thay đổi Trưởng chi nhánh: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đăng ký hoạt động của chi nhánh doanh nghiệp đấu giá tài sản (Mẫu TP-ĐGTS-09 ban hành kèm theo Thông tư số 19/2024/TT-BTP)</w:t>
            </w:r>
          </w:p>
        </w:tc>
        <w:tc>
          <w:p/>
          <w:p>
            <w:pPr>
              <w:spacing w:after="0" w:before="0" w:lineRule="auto" w:line="276"/>
              <w:jc w:val="left"/>
            </w:pPr>
            <w:r>
              <w:rPr>
                <w:rFonts w:ascii="Times New Roman" w:hAnsi="Times New Roman" w:cs="Times New Roman" w:eastAsia="Times New Roman"/>
                <w:b w:val="false"/>
                <w:sz w:val="26"/>
              </w:rPr>
              <w:t>Giynghthayinidung_MuTP09.docx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bản sao chứng thực điện tử hoặc bản sao kèm bản chính để đối chiếu Chứng chỉ hành nghề đấu giá của Trưởng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Chi nhánh doanh nghiệp đấu giá tài sản thay đổi địa chỉ trụ sở trong phạm vi tỉnh, thành phố trực thuộc Trung ương: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đăng ký hoạt động của chi nhánh doanh nghiệp đấu giá tài sản (Mẫu TP-ĐGTS-09 ban hành kèm theo Thông tư số 19/2024/TT-BTP)</w:t>
            </w:r>
          </w:p>
        </w:tc>
        <w:tc>
          <w:p/>
          <w:p>
            <w:pPr>
              <w:spacing w:after="0" w:before="0" w:lineRule="auto" w:line="276"/>
              <w:jc w:val="left"/>
            </w:pPr>
            <w:r>
              <w:rPr>
                <w:rFonts w:ascii="Times New Roman" w:hAnsi="Times New Roman" w:cs="Times New Roman" w:eastAsia="Times New Roman"/>
                <w:b w:val="false"/>
                <w:sz w:val="26"/>
              </w:rPr>
              <w:t>Giynghthayinidung_MuTP09.docx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chi nhánh của doanh nghiệp đấu giá tài sản thay đổi địa chỉ trụ sở từ tỉnh, thành phố trực thuộc Trung ương này sang tỉnh, thành phố trực thuộc Trung ương khác: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đăng ký hoạt động của chi nhánh doanh nghiệp đấu giá tài sản (Mẫu TP-ĐGTS-09 ban hành kèm theo Thông tư số 19/2024/TT-BTP)</w:t>
            </w:r>
          </w:p>
        </w:tc>
        <w:tc>
          <w:p/>
          <w:p>
            <w:pPr>
              <w:spacing w:after="0" w:before="0" w:lineRule="auto" w:line="276"/>
              <w:jc w:val="left"/>
            </w:pPr>
            <w:r>
              <w:rPr>
                <w:rFonts w:ascii="Times New Roman" w:hAnsi="Times New Roman" w:cs="Times New Roman" w:eastAsia="Times New Roman"/>
                <w:b w:val="false"/>
                <w:sz w:val="26"/>
              </w:rPr>
              <w:t>Giynghthayinidung_MuTP09.docx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bản sao chứng thực điện tử hoặc bản sao kèm bản chính để đối chiếu Giấy đăng ký hoạt động của chi nhánh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Chi nhánh doanh nghiệp đấu giá tài sản, Quyết định thay đổi nội dung đăng ký hoạt động của chi nhánh doanh nghiệp đấu giá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01/2016/QH14</w:t>
            </w:r>
          </w:p>
        </w:tc>
        <w:tc>
          <w:p/>
          <w:p>
            <w:pPr>
              <w:spacing w:after="0" w:before="0" w:lineRule="auto" w:line="276"/>
              <w:jc w:val="left"/>
            </w:pPr>
            <w:r>
              <w:rPr>
                <w:rFonts w:ascii="Times New Roman" w:hAnsi="Times New Roman" w:cs="Times New Roman" w:eastAsia="Times New Roman"/>
                <w:b w:val="false"/>
                <w:sz w:val="26"/>
              </w:rPr>
              <w:t>Luật Đấu giá tài sản năm 2016</w:t>
            </w:r>
          </w:p>
        </w:tc>
        <w:tc>
          <w:p/>
          <w:p>
            <w:pPr>
              <w:spacing w:after="0" w:before="0" w:lineRule="auto" w:line="276"/>
              <w:jc w:val="left"/>
            </w:pPr>
            <w:r>
              <w:rPr>
                <w:rFonts w:ascii="Times New Roman" w:hAnsi="Times New Roman" w:cs="Times New Roman" w:eastAsia="Times New Roman"/>
                <w:b w:val="false"/>
                <w:sz w:val="26"/>
              </w:rPr>
              <w:t>17-11-2016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37/2024/QH15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Đấu giá tài sản năm 2024</w:t>
            </w:r>
          </w:p>
        </w:tc>
        <w:tc>
          <w:p/>
          <w:p>
            <w:pPr>
              <w:spacing w:after="0" w:before="0" w:lineRule="auto" w:line="276"/>
              <w:jc w:val="left"/>
            </w:pPr>
            <w:r>
              <w:rPr>
                <w:rFonts w:ascii="Times New Roman" w:hAnsi="Times New Roman" w:cs="Times New Roman" w:eastAsia="Times New Roman"/>
                <w:b w:val="false"/>
                <w:sz w:val="26"/>
              </w:rPr>
              <w:t>27-06-2024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19/2024/TT-BTP</w:t>
            </w:r>
          </w:p>
        </w:tc>
        <w:tc>
          <w:p/>
          <w:p>
            <w:pPr>
              <w:spacing w:after="0" w:before="0" w:lineRule="auto" w:line="276"/>
              <w:jc w:val="left"/>
            </w:pPr>
            <w:r>
              <w:rPr>
                <w:rFonts w:ascii="Times New Roman" w:hAnsi="Times New Roman" w:cs="Times New Roman" w:eastAsia="Times New Roman"/>
                <w:b w:val="false"/>
                <w:sz w:val="26"/>
              </w:rPr>
              <w:t>Thông tư số 19/2024/TT-BTP ngày 31/12/2024 của Bộ trưởng Bộ Tư pháp quy định chi tiết và hướng dẫn thi hành một số điều của Luật Đấu giá tài sản số 01/2016/QH14 được sửa đổi, bổ sung một số điều theo Luật số 37/2024/QH15</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đấu giá tài sản thực hiện thủ tục thay đổi nội dung đăng ký hoạt động của chi nhánh doanh nghiệp đấu giá tài sản khi chi nhánh doanh nghiệp đấu giá tài sản có thay đổi về địa chỉ trụ sở trong phạm vi tỉnh, thành phố trực thuộc Trung ương, thay đổi Trưởng chi nhánh; hoặc thay đổi địa chỉ trụ sở từ tỉnh, thành phố trực thuộc Trung ương này sang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2026-05-01T14:03:45Z</dcterms:created>
  <dc:creator>Apache POI</dc:creator>
</cp:coreProperties>
</file>