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3.000325.H50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Thanh toán chi phí liên quan đến xử lý tài sản kết cấu hạ tầng thủy lợi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công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a1) Doanh nghiệp được giao nhiệm vụ tổ chức xử lý tài sản kết cấu hạ tầng thủy lợi có trách nhiệm lập 01 bộ hồ sơ đề nghị thanh toán gửi chủ tài khoản tạm giữ để chi trả chi phí xử lý tài sản.
a2) Chủ tài khoản tạm giữ có trách nhiệm cấp tiền cho doanh nghiệp được giao nhiệm vụ tổ chức xử lý để thực hiện chi trả các khoản chi phí có liên quan đến việc xử lý tài sản.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30 ngày, kể từ ngày hoàn thành việc xử lý tài sản, doanh nghiệp được giao nhiệm vụ tổ chức xử lý tài sản kết cấu hạ tầng thủy lợi có trách nhiệm lập 01 bộ hồ sơ đề nghị thanh toán gửi chủ tài khoản tạm giữ để chi trả chi phí xử lý tài sản.
- Trong thời hạn 30 ngày, kể từ ngày nhận được đầy đủ hồ sơ hợp lệ, chủ tài khoản tạm giữ có trách nhiệm cấp tiền cho doanh nghiệp được giao nhiệm vụ tổ chức xử lý để thực hiện chi trả các khoản chi phí có liên quan đến việc xử lý tài sản.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30 ngày, kể từ ngày hoàn thành việc xử lý tài sản, doanh nghiệp được giao nhiệm vụ tổ chức xử lý tài sản kết cấu hạ tầng thủy lợi có trách nhiệm lập 01 bộ hồ sơ đề nghị thanh toán gửi chủ tài khoản tạm giữ để chi trả chi phí xử lý tài sản.
- Trong thời hạn 30 ngày, kể từ ngày nhận được đầy đủ hồ sơ hợp lệ, chủ tài khoản tạm giữ có trách nhiệm cấp tiền cho doanh nghiệp được giao nhiệm vụ tổ chức xử lý để thực hiện chi trả các khoản chi phí có liên quan đến việc xử lý tài sản.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thanh toán của doanh nghiệp được giao nhiệm vụ tổ chức xử lý tài sản kết cấu hạ tầng thủy lợi (trong đó nêu rõ số tiền thu được từ việc xử lý tài sản, tổng chi phí xử lý tài sản, thông tin về tài khoản tiếp nhận thanh toán) kèm theo bảng kê chi tiết các khoản chi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xử lý tài sản của cơ quan, người có thẩm quyềnn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hồ sơ, giấy tờ chứng minh cho các khoản chi như: Dự toán chi được duyệt; Hợp đồng thuê dịch vụ thẩm định giá, đấu giá, phá dỡ; hóa đơn, phiếu thu tiềnn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 tỉnh Quảng Trị, Phòng Tài chính - Kế hoạch cấp huyện, thị xã, thành phố - tỉnh Quảng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Chủ tài khoản tạm giữ theo quy định tại khoản 1 Điều 25 Nghị định số 8/2025/NĐ-CP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8/2025/NĐ-CP</w:t>
            </w:r>
          </w:p>
        </w:tc>
        <w:tc>
          <w:p/>
          <w:p>
            <w:pPr>
              <w:spacing w:after="0" w:before="0" w:lineRule="auto" w:line="276"/>
              <w:jc w:val="left"/>
            </w:pPr>
            <w:r>
              <w:rPr>
                <w:rFonts w:ascii="Times New Roman" w:hAnsi="Times New Roman" w:cs="Times New Roman" w:eastAsia="Times New Roman"/>
                <w:b w:val="false"/>
                <w:sz w:val="26"/>
              </w:rPr>
              <w:t>Nghị định số 8/2025/NĐ-CP ngày 09/01/2025 của Chính phủ quy định việc quản lý, sử dụng và khai thác tài sản kết cấu hạ tầng thủy lợi</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1433/QĐ-UBND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Trồng trọt thuộc thẩm quyền giải quyết của Sở Nông nghiệp và Môi trường tỉnh Quảng Bình</w:t>
            </w:r>
          </w:p>
        </w:tc>
        <w:tc>
          <w:p/>
          <w:p>
            <w:pPr>
              <w:spacing w:after="0" w:before="0" w:lineRule="auto" w:line="276"/>
              <w:jc w:val="left"/>
            </w:pPr>
            <w:r>
              <w:rPr>
                <w:rFonts w:ascii="Times New Roman" w:hAnsi="Times New Roman" w:cs="Times New Roman" w:eastAsia="Times New Roman"/>
                <w:b w:val="false"/>
                <w:sz w:val="26"/>
              </w:rPr>
              <w:t>06-05-2025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2026-05-02T10:11:14Z</dcterms:created>
  <dc:creator>Apache POI</dc:creator>
</cp:coreProperties>
</file>