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hoạt động huấn luyện an toàn, vệ sinh lao động hạng B (trừ tổ chức huấn luyện do các Bộ, ngành, cơ quan trung ương, các tập đoàn, tổng công ty nhà nước thuộc Bộ, ngành, cơ quan trung ương quyết định thành lập); Cấp Giấy chứng nhận doanh nghiệp đủ điều kiện tự huấn luyện an toàn, vệ sinh lao động hạng B (trừ doanh nghiệp có nhu cầu tự huấn luyện do các Bộ, ngành, cơ quan trung ương, các tập đoàn, tổng công ty nhà nước thuộc Bộ, ngành, cơ quan trung ương quyết định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huấn luyện gửi 01 bộ hồ sơ đề nghị Bộ phận Tiếp nhận và Trả kết quả Sở Nội vụ tỉnh Điện Biên (địa chỉ: Thôn Thanh Xuân, xã Thanh Hưng, huyện Điện Biên, tỉnh Điện Biên. Điện thoại: 02153.831.077).
- Bước 2: Sở Nội vụ tiếp nhận, thẩm định hoặc xem xét thành phần, tính hợp lệ của hồ sơ, cơ sở vật chất của tổ chức.
- Bước 3: Nếu tổ chức huấn luyện, doanh nghiệp bảo đảm các điều kiện theo quy định của pháp luật thì cấp Giấy chứng nhận đủ điều kiện hoạt động huấn luyện an toàn, vệ sinh lao động. Trường hợp hồ sơ không đáp ứng theo quy định thì có văn bản trả lời, nêu rõ lý do và hướng dẫn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br/>
              <w:t>File đính kèm: 1102017TT-BTC ngay  20102017.PDF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br/>
              <w:t>File đính kèm: 1102017TT-BTC ngay  20102017.PDF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1.200.000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hoạt động theo Mẫu số 01 Phụ lục I ban hành kèm theo Nghị định 140/2018/NĐ-CP của Chính phủ ngày 8/10/2018,</w:t>
            </w:r>
          </w:p>
        </w:tc>
        <w:tc>
          <w:p/>
          <w:p>
            <w:pPr>
              <w:spacing w:after="0" w:before="0" w:lineRule="auto" w:line="276"/>
              <w:jc w:val="left"/>
            </w:pPr>
            <w:r>
              <w:rPr>
                <w:rFonts w:ascii="Times New Roman" w:hAnsi="Times New Roman" w:cs="Times New Roman" w:eastAsia="Times New Roman"/>
                <w:b w:val="false"/>
                <w:sz w:val="26"/>
              </w:rPr>
              <w:t>34.Mus01PhlcIcaNghnh140.docx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quy mô huấn luyện và các điều kiện, giải pháp thực hiện theo Mẫu số 02 Phụ lục I ban hành kèm theo Nghị định 140/2018/NĐ-CP ngày 8/10/2018 của Chính phủ, - Tài liệu huấn luyện an toàn, vệ sinh lao động chỉ liệt kê danh mục vào Mẫu 02 Phụ lục I ban hành kèm theo Nghị định 140/2018/NĐ-CP của Chính phủ, xuất trình khi có yêu cầu của cơ quan có thẩm quyền thẩm định.</w:t>
            </w:r>
          </w:p>
        </w:tc>
        <w:tc>
          <w:p/>
          <w:p>
            <w:pPr>
              <w:spacing w:after="0" w:before="0" w:lineRule="auto" w:line="276"/>
              <w:jc w:val="left"/>
            </w:pPr>
            <w:r>
              <w:rPr>
                <w:rFonts w:ascii="Times New Roman" w:hAnsi="Times New Roman" w:cs="Times New Roman" w:eastAsia="Times New Roman"/>
                <w:b w:val="false"/>
                <w:sz w:val="26"/>
              </w:rPr>
              <w:t>34.Mus02PhlcIcaNghnh1402018.docx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(địa chỉ: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và giấy chứng nhận đủ điều kiện huấn luyện an toàn, vệ sinh lao động hoặc văn bản trả lời,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110/2017/TT-BTC</w:t>
            </w:r>
          </w:p>
        </w:tc>
        <w:tc>
          <w:p/>
          <w:p>
            <w:pPr>
              <w:spacing w:after="0" w:before="0" w:lineRule="auto" w:line="276"/>
              <w:jc w:val="left"/>
            </w:pPr>
            <w:r>
              <w:rPr>
                <w:rFonts w:ascii="Times New Roman" w:hAnsi="Times New Roman" w:cs="Times New Roman" w:eastAsia="Times New Roman"/>
                <w:b w:val="false"/>
                <w:sz w:val="26"/>
              </w:rPr>
              <w:t>Thông tư số 110/2017/TT-BTC</w:t>
            </w:r>
          </w:p>
        </w:tc>
        <w:tc>
          <w:p/>
          <w:p>
            <w:pPr>
              <w:spacing w:after="0" w:before="0" w:lineRule="auto" w:line="276"/>
              <w:jc w:val="left"/>
            </w:pPr>
            <w:r>
              <w:rPr>
                <w:rFonts w:ascii="Times New Roman" w:hAnsi="Times New Roman" w:cs="Times New Roman" w:eastAsia="Times New Roman"/>
                <w:b w:val="false"/>
                <w:sz w:val="26"/>
              </w:rPr>
              <w:t>20-10-2017</w:t>
            </w:r>
          </w:p>
        </w:tc>
        <w:tc>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điều kiện quy định tại khoản 11 Điều 1 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2026-05-01T05:22:58Z</dcterms:created>
  <dc:creator>Apache POI</dc:creator>
</cp:coreProperties>
</file>