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quan, tổ chức, cá nhân gửi 01 bộ hồ sơ quy định tại điểm b khoản 3 Điều 31 Nghị định số 125/2024/NĐ-CP qua cổng dịch vụ công trực tuyến hoặc bưu chính hoặc trực tiếp đến Ủy ban nhân dân cấp huyện.</w:t>
      </w:r>
    </w:p>
    <w:p>
      <w:pPr>
        <w:spacing w:after="0" w:before="0" w:lineRule="auto" w:line="276"/>
        <w:jc w:val="both"/>
      </w:pPr>
      <w:r>
        <w:rPr>
          <w:rFonts w:ascii="Times New Roman" w:hAnsi="Times New Roman" w:cs="Times New Roman" w:eastAsia="Times New Roman"/>
          <w:b w:val="false"/>
          <w:sz w:val="26"/>
        </w:rPr>
        <w:t>b) Trong thời hạn 20 ngày, kể từ ngày nhận được hồ sơ đề nghị giải thể trường, Chủ tịch Ủy ban nhân dân cấp huyện quyết định việc giải thể trường trung học cơ sở, trường phổ thông có nhiều cấp học có cấp học cao nhất là trung học cơ sở;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2026-05-26T03:38:16Z</dcterms:created>
  <dc:creator>Apache POI</dc:creator>
</cp:coreProperties>
</file>