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1.013416.000.00.00.H18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895/QĐUBND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bán lẻ điện thuộc thẩm quyền cấp của Ủy ban nhân dân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Trong thời hạn 03 ngày làm việc từ ngày nhận hồ sơ hoặc hồ sơ bổ sung, cơ quan cấp giấy phép hoạt động điện lực có trách nhiệm kiểm tra sự đầy đủ và hợp lệ của hồ sơ theo quy định tại Chương III Nghị định số 61/2025/NĐ-CP và thực hiện như sau:
•	Trường hợp hồ sơ đầy đủ và hợp lệ, thực hiện theo quy định tại khoản 2, khoản 3 Điều 18 Nghị định số 61/2025/NĐ-CP;
•	Trường hợp hồ sơ không đầy đủ và hợp lệ, gửi yêu cầu bổ sung hồ sơ đến tổ chức đề nghị cấp giấy phép hoạt động điện lực;
•	Trường hợp đề nghị cấp giấy phép hoạt động điện lực không đúng thẩm quyền hoặc không thuộc đối tượng phải cấp giấy phép hoạt động điện lực, từ chối hồ sơ và thông báo cho tổ chức đề nghị cấp giấy phép hoạt động điện lực, nêu rõ lý do.
+ Trường hợp cấp mới, trong thời hạn 14 ngày từ ngày nhận được hồ sơ đầy đủ và hợp lệ, cơ quan cấp giấy phép hoạt động điện lực có trách nhiệm:
•	Thẩm định hồ sơ theo điều kiện cấp giấy phép hoạt động điện lực quy định tại Điều 31 Luật Điện lực và Chương II của của Nghị định số 61/2025/NĐ-CP; đánh giá hồ sơ thực hiện theo quy định tại Điều 19 của Nghị định số 61/2025/NĐ-CP và thông báo thu phí thẩm định cấp giấy phép hoạt động điện lực; trường hợp cần thiết, gửi văn bản lấy ý kiến của cơ quan, tổ chức có liên quan, tổ chức kiểm tra thực tế tại công trình;
•	Trường hợp hồ sơ đáp ứng điều kiện, thực hiện theo quy định tại khoản 5 Điều 18 Nghị định số 61/2025/NĐ-CP;
•	Trường hợp không đáp ứng một trong các điều kiện, từ chối hồ sơ và thông báo bằng văn bản cho tổ chức đề nghị cấp giấy phép hoạt động điện lực, nêu rõ lý do.
+ Trường hợp hồ sơ phức tạp, cơ quan cấp giấy phép hoạt động điện lực có thể gia hạn thời gian thẩm định quy định tại khoản 2, khoản 3 Điều 18 Nghị định số 61/2025/NĐ-CP nhưng không quá 10 ngày và phải thông báo bằng văn bản cho tổ chức đề nghị cấp giấy phép hoạt động điện lực, nêu rõ lý do. Thời điểm thông báo bằng văn bản trước thời điểm hết thời gian quy định tại khoản 2, khoản 3 Điều 18 Nghị định số 61/2025/NĐ-CP .
+ Trường hợp đã nộp phí thẩm định cấp giấy phép hoạt động điện lực, thực hiện cấp giấy phép hoạt động điện lực trong thời hạn quy định tại khoản 2 và khoản 3 Điều 18 Nghị định số 61/2025/NĐ-CP.
+ Trường hợp tổ chức đề nghị cấp giấy phép hoạt động điện lực không thực hiện bổ sung hồ sơ trong thời hạn 30 ngày từ ngày yêu cầu bổ sung hoặc không nộp phí thẩm định trong thời hạn 05 ngày từ ngày thông báo lần đầu, cơ quan cấp giấy phép hoạt động điện lực có quyền từ chối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14 Ngày</w:t>
            </w:r>
          </w:p>
        </w:tc>
        <w:tc>
          <w:p/>
          <w:p>
            <w:pPr>
              <w:spacing w:after="0" w:before="0" w:lineRule="auto" w:line="276"/>
              <w:jc w:val="left"/>
            </w:pPr>
            <w:r>
              <w:rPr>
                <w:rFonts w:ascii="Times New Roman" w:hAnsi="Times New Roman" w:cs="Times New Roman" w:eastAsia="Times New Roman"/>
                <w:b w:val="false"/>
                <w:sz w:val="26"/>
              </w:rPr>
              <w:t>Phí : 700.000 Đồng</w:t>
              <w:t xml:space="preserve"> (Theo quy định tại Thông tư số 106/2020/TT-BCT ngày 08/12/2020 của Bộ trưởng Bộ Tài chính quy định mức thu, chế độ thu, nộp, quản lý và sử dụng phí thẩm định cấp giấy phép hoạt động điện lực)</w:t>
            </w:r>
          </w:p>
        </w:tc>
        <w:tc>
          <w:p/>
          <w:p>
            <w:pPr>
              <w:spacing w:after="0" w:before="0" w:lineRule="auto" w:line="276"/>
              <w:jc w:val="left"/>
            </w:pPr>
            <w:r>
              <w:rPr>
                <w:rFonts w:ascii="Times New Roman" w:hAnsi="Times New Roman" w:cs="Times New Roman" w:eastAsia="Times New Roman"/>
                <w:b w:val="false"/>
                <w:sz w:val="26"/>
              </w:rPr>
              <w:t>14 ngày làm việc kể từ ngày nhận đầy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14 Ngày</w:t>
            </w:r>
          </w:p>
        </w:tc>
        <w:tc>
          <w:p/>
          <w:p>
            <w:pPr>
              <w:spacing w:after="0" w:before="0" w:lineRule="auto" w:line="276"/>
              <w:jc w:val="left"/>
            </w:pPr>
            <w:r>
              <w:rPr>
                <w:rFonts w:ascii="Times New Roman" w:hAnsi="Times New Roman" w:cs="Times New Roman" w:eastAsia="Times New Roman"/>
                <w:b w:val="false"/>
                <w:sz w:val="26"/>
              </w:rPr>
              <w:t>Phí : 700.000 Đồng</w:t>
              <w:t xml:space="preserve"> (Theo quy định tại Thông tư số 106/2020/TT-BCT ngày 08/12/2020 của Bộ trưởng Bộ Tài chính quy định mức thu, chế độ thu, nộp, quản lý và sử dụng phí thẩm định cấp giấy phép hoạt động điện lực)</w:t>
            </w:r>
          </w:p>
        </w:tc>
        <w:tc>
          <w:p/>
          <w:p>
            <w:pPr>
              <w:spacing w:after="0" w:before="0" w:lineRule="auto" w:line="276"/>
              <w:jc w:val="left"/>
            </w:pPr>
            <w:r>
              <w:rPr>
                <w:rFonts w:ascii="Times New Roman" w:hAnsi="Times New Roman" w:cs="Times New Roman" w:eastAsia="Times New Roman"/>
                <w:b w:val="false"/>
                <w:sz w:val="26"/>
              </w:rPr>
              <w:t>14 ngày làm việc kể từ ngày nhận đầy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14 Ngày</w:t>
            </w:r>
          </w:p>
        </w:tc>
        <w:tc>
          <w:p/>
          <w:p>
            <w:pPr>
              <w:spacing w:after="0" w:before="0" w:lineRule="auto" w:line="276"/>
              <w:jc w:val="left"/>
            </w:pPr>
            <w:r>
              <w:rPr>
                <w:rFonts w:ascii="Times New Roman" w:hAnsi="Times New Roman" w:cs="Times New Roman" w:eastAsia="Times New Roman"/>
                <w:b w:val="false"/>
                <w:sz w:val="26"/>
              </w:rPr>
              <w:t>Phí : 700.000 Đồng</w:t>
              <w:t xml:space="preserve"> (Theo quy định tại Thông tư số 106/2020/TT-BCT ngày 08/12/2020 của Bộ trưởng Bộ Tài chính quy định mức thu, chế độ thu, nộp, quản lý và sử dụng phí thẩm định cấp giấy phép hoạt động điện lực)</w:t>
            </w:r>
          </w:p>
        </w:tc>
        <w:tc>
          <w:p/>
          <w:p>
            <w:pPr>
              <w:spacing w:after="0" w:before="0" w:lineRule="auto" w:line="276"/>
              <w:jc w:val="left"/>
            </w:pPr>
            <w:r>
              <w:rPr>
                <w:rFonts w:ascii="Times New Roman" w:hAnsi="Times New Roman" w:cs="Times New Roman" w:eastAsia="Times New Roman"/>
                <w:b w:val="false"/>
                <w:sz w:val="26"/>
              </w:rPr>
              <w:t>14 ngày làm việc kể từ ngày nhận đầy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cấp giấy phép hoạt động điện lực theo Mẫu 01 quy định tại Phụ lục ban hành kèm theo Nghị định quy định chi tiết một số điều Luật Điện lực về giấy phép hoạt động điện lực</w:t>
            </w:r>
          </w:p>
        </w:tc>
        <w:tc>
          <w:p/>
          <w:p>
            <w:pPr>
              <w:spacing w:after="0" w:before="0" w:lineRule="auto" w:line="276"/>
              <w:jc w:val="left"/>
            </w:pPr>
            <w:r>
              <w:rPr>
                <w:rFonts w:ascii="Times New Roman" w:hAnsi="Times New Roman" w:cs="Times New Roman" w:eastAsia="Times New Roman"/>
                <w:b w:val="false"/>
                <w:sz w:val="26"/>
              </w:rPr>
              <w:t>Mu01.docx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doanh nghiệp; giấy chứng nhận đăng ký hợp tác xã hoặc quyết định thành lập (đối với các tổ chức không có giấy chứng nhận đăng ký doanh nghiệp) của tổ chức đề nghị cấp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trích ngang đội ngũ quản lý kinh doanh bán lẻ điện theo Mẫu 02 quy định tại Phụ lục ban hành kèm theo Nghị định quy định chi tiết một số điều Luật Điện lực về giấy phép hoạt động điện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của người quản lý kinh doanh bán lẻ điện: Bằng tốt nghiệp đại học trở lên; bản khai quá trình công tác trong lĩnh vực kinh doanh mua bán điện có xác nhận của người sử dụng lao động theo Mẫu 03 quy định tại Phụ lục ban hành kèm theo Nghị định quy định chi tiết một số điều Luật Điện lực về giấy phép hoạt động điện lực;</w:t>
            </w:r>
          </w:p>
        </w:tc>
        <w:tc>
          <w:p/>
          <w:p>
            <w:pPr>
              <w:spacing w:after="0" w:before="0" w:lineRule="auto" w:line="276"/>
              <w:jc w:val="left"/>
            </w:pPr>
            <w:r>
              <w:rPr>
                <w:rFonts w:ascii="Times New Roman" w:hAnsi="Times New Roman" w:cs="Times New Roman" w:eastAsia="Times New Roman"/>
                <w:b w:val="false"/>
                <w:sz w:val="26"/>
              </w:rPr>
              <w:t>Mu03.docx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hoạt động bán lẻ điện theo Mẫu 04 quy định tại Phụ lục ban hành kèm theo Nghị định quy định chi tiết một số điều Luật Điện lực về giấy phép hoạt động điện lực.</w:t>
            </w:r>
          </w:p>
        </w:tc>
        <w:tc>
          <w:p/>
          <w:p>
            <w:pPr>
              <w:spacing w:after="0" w:before="0" w:lineRule="auto" w:line="276"/>
              <w:jc w:val="left"/>
            </w:pPr>
            <w:r>
              <w:rPr>
                <w:rFonts w:ascii="Times New Roman" w:hAnsi="Times New Roman" w:cs="Times New Roman" w:eastAsia="Times New Roman"/>
                <w:b w:val="false"/>
                <w:sz w:val="26"/>
              </w:rPr>
              <w:t>Mu04.docx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ĐIỆN LỰC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61/2024/QH15</w:t>
            </w:r>
          </w:p>
        </w:tc>
        <w:tc>
          <w:p/>
          <w:p>
            <w:pPr>
              <w:spacing w:after="0" w:before="0" w:lineRule="auto" w:line="276"/>
              <w:jc w:val="left"/>
            </w:pPr>
            <w:r>
              <w:rPr>
                <w:rFonts w:ascii="Times New Roman" w:hAnsi="Times New Roman" w:cs="Times New Roman" w:eastAsia="Times New Roman"/>
                <w:b w:val="false"/>
                <w:sz w:val="26"/>
              </w:rPr>
              <w:t>Luật điện lực</w:t>
            </w:r>
          </w:p>
        </w:tc>
        <w:tc>
          <w:p/>
          <w:p>
            <w:pPr>
              <w:spacing w:after="0" w:before="0" w:lineRule="auto" w:line="276"/>
              <w:jc w:val="left"/>
            </w:pPr>
            <w:r>
              <w:rPr>
                <w:rFonts w:ascii="Times New Roman" w:hAnsi="Times New Roman" w:cs="Times New Roman" w:eastAsia="Times New Roman"/>
                <w:b w:val="false"/>
                <w:sz w:val="26"/>
              </w:rPr>
              <w:t>30-11-2024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61/2025/NĐ-CP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Luật Điện lực về giấy phép hoạt động điện lực</w:t>
            </w:r>
          </w:p>
        </w:tc>
        <w:tc>
          <w:p/>
          <w:p>
            <w:pPr>
              <w:spacing w:after="0" w:before="0" w:lineRule="auto" w:line="276"/>
              <w:jc w:val="left"/>
            </w:pPr>
            <w:r>
              <w:rPr>
                <w:rFonts w:ascii="Times New Roman" w:hAnsi="Times New Roman" w:cs="Times New Roman" w:eastAsia="Times New Roman"/>
                <w:b w:val="false"/>
                <w:sz w:val="26"/>
              </w:rPr>
              <w:t>04-03-2025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điều kiện đã được quy định tại Điều 7 Nghị định quy định chi tiết một số điều Luật Điện lực về giấy phép hoạt động điện lực, cụ thể như sau:
Tổ chức được cấp giấy phép hoạt động điện lực trong lĩnh vực bán lẻ điện khi đáp ứng đủ các điều kiện sau đây:
1. Tổ chức được thành lập hợp pháp theo quy định của pháp luật, gồm: doanh nghiệp thuộc mọi thành phần kinh tế được thành lập và hoạt động theo quy định của Luật Doanh nghiệp; hợp tác xã được thành lập và hoạt động theo Luật Hợp tác xã; tổ chức khác được thành lập theo quy định của pháp luật có liên quan;
2. Có phương án hoạt động bán lẻ điện;
3. Có ít nhất 01 người quản lý kinh doanh bán lẻ điện, có bằng tốt nghiệp đại học trở lên thuộc một trong các ngành công nghệ, kỹ thuật điện, kinh tế, tài chính hoặc ngành đào tạo khác và có thời gian làm việc trong lĩnh vực kinh doanh mua bán điện ít nhất 03 năm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2026-05-15T11:58:09Z</dcterms:created>
  <dc:creator>Apache POI</dc:creator>
</cp:coreProperties>
</file>