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3.000323.H19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giám sát việc giám hộ nộp hồ sơ đăng ký giám sát việc giám hộ tại Bộ phận một cửa của UBND cấp xã nơi cư trú của người được giám hộ; nộp lệ phí nếu thuộc trường hợp phải nộp lệ phí đăng ký giám sát việc giám hộ; nộp phí cấp bản sao Trích lục đăng ký giám sát việc giám hộ nếu có yêu cầu cấp bản sao Trích lục đăng ký giám sát việc giám hộ.   
- Nếu lựa chọn hình thức nộp hồ sơ trực tuyến, người có yêu cầu đăng ký giám sát việc giám hộ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giám sát việc giám hộ trực tuyến cung cấp thông tin theo mẫu hộ tịch điện tử tương tác đăng ký giám sát việc giám hộ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đồng thời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giám sát việc giám hộ không bổ sung, hoàn thiện được hồ sơ thì báo cáo Trưởng bộ phận một cửa có thông báo từ chối giải quyết yêu cầu đăng ký giám sát việc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yêu cầu đăng ký giám sát việc giám hộ đủ điều kiện theo quy định pháp luật, hồ sơ đầy đủ, hợp lệ, đúng quy định, trường hợp tiếp nhận hồ sơ đăng ký giám hộ theo hình thức trực tiếp, thì công chức tư pháp - hộ tịch thực hiện việc ghi vào Sổ đăng ký giám sát việc giám hộ, cập nhật thông tin đăng ký giám sát việc giám hộ trên Phần mềm đăng ký, quản lý hộ tịch điện tử dùng chung.   
 Trường hợp tiếp nhận hồ sơ đăng ký giám sát việc giám hộ theo hình thức trực tuyến, công chức tư pháp - hộ tịch gửi lại biểu mẫu Trích lục đăng ký giám sát việc giám hộ điện tử với thông tin đầy đủ cho người yêu cầu qua thư điện tử hoặc thiết bị số.   
Người yêu cầu có trách nhiệm kiểm tra tính chính xác, đầy đủ của các thông tin trên biểu mẫu Trích lục đăng ký giám sát việc giám hộ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giám sát việc giám hộ, cập nhật thông tin đăng ký giám sát việc giám hộ trên Phần mềm đăng ký, quản lý hộ tịch điện tử dùng chung.   
- Công chức tư pháp - hộ tịch in Trích lục đăng ký giám sát việc giám hộ, trình Lãnh đạo UBND ký, chuyển Bộ phận một cửa trả kết quả cho người có yêu cầu. 
- Người có yêu cầu đăng ký giám sát việc giám hộ kiểm tra thông tin trên Trích lục đăng ký giám sát việc giám hộ, trong Sổ đăng ký giám sát việc giám hộ, ký tên vào Sổ đăng ký giám sát việc giám hộ, nhận Trích lục đăng ký giám sát việc giám hộ.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w:t>
            </w:r>
          </w:p>
          <w:p>
            <w:pPr>
              <w:spacing w:after="0" w:before="0" w:lineRule="auto" w:line="276"/>
              <w:jc w:val="left"/>
            </w:pPr>
            <w:r>
              <w:rPr>
                <w:rFonts w:ascii="Times New Roman" w:hAnsi="Times New Roman" w:cs="Times New Roman" w:eastAsia="Times New Roman"/>
                <w:b w:val="false"/>
                <w:sz w:val="26"/>
              </w:rPr>
              <w:t>Lệ phí : 50000 Đồng</w:t>
              <w:t xml:space="preserve"> (Nộp hồ sơ trực tiếp: lệ phí 50.000 đồng)</w:t>
            </w:r>
          </w:p>
        </w:tc>
        <w:tc>
          <w:p/>
          <w:p>
            <w:pPr>
              <w:spacing w:after="0" w:before="0" w:lineRule="auto" w:line="276"/>
              <w:jc w:val="left"/>
            </w:pPr>
            <w:r>
              <w:rPr>
                <w:rFonts w:ascii="Times New Roman" w:hAnsi="Times New Roman" w:cs="Times New Roman" w:eastAsia="Times New Roman"/>
                <w:b w:val="false"/>
                <w:sz w:val="26"/>
              </w:rPr>
              <w:t>- Thời hạn giải quyết: 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w:t>
            </w:r>
          </w:p>
          <w:p>
            <w:pPr>
              <w:spacing w:after="0" w:before="0" w:lineRule="auto" w:line="276"/>
              <w:jc w:val="left"/>
            </w:pPr>
            <w:r>
              <w:rPr>
                <w:rFonts w:ascii="Times New Roman" w:hAnsi="Times New Roman" w:cs="Times New Roman" w:eastAsia="Times New Roman"/>
                <w:b w:val="false"/>
                <w:sz w:val="26"/>
              </w:rPr>
              <w:t>Lệ phí : 0 Đồng</w:t>
              <w:t xml:space="preserve"> (Nộp hồ sơ trực tuyến: lệ phí 0 đồng (được giảm 100%).)</w:t>
            </w:r>
          </w:p>
        </w:tc>
        <w:tc>
          <w:p/>
          <w:p>
            <w:pPr>
              <w:spacing w:after="0" w:before="0" w:lineRule="auto" w:line="276"/>
              <w:jc w:val="left"/>
            </w:pPr>
            <w:r>
              <w:rPr>
                <w:rFonts w:ascii="Times New Roman" w:hAnsi="Times New Roman" w:cs="Times New Roman" w:eastAsia="Times New Roman"/>
                <w:b w:val="false"/>
                <w:sz w:val="26"/>
              </w:rPr>
              <w:t>- Thời hạn giải quyết: 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w:t>
            </w:r>
          </w:p>
          <w:p>
            <w:pPr>
              <w:spacing w:after="0" w:before="0" w:lineRule="auto" w:line="276"/>
              <w:jc w:val="left"/>
            </w:pPr>
            <w:r>
              <w:rPr>
                <w:rFonts w:ascii="Times New Roman" w:hAnsi="Times New Roman" w:cs="Times New Roman" w:eastAsia="Times New Roman"/>
                <w:b w:val="false"/>
                <w:sz w:val="26"/>
              </w:rPr>
              <w:t>Lệ phí : 50000 Đồng</w:t>
              <w:t xml:space="preserve"> (+ Nộp hồ sơ trực tiếp: lệ phí 50.000 đồng.)</w:t>
            </w:r>
          </w:p>
        </w:tc>
        <w:tc>
          <w:p/>
          <w:p>
            <w:pPr>
              <w:spacing w:after="0" w:before="0" w:lineRule="auto" w:line="276"/>
              <w:jc w:val="left"/>
            </w:pPr>
            <w:r>
              <w:rPr>
                <w:rFonts w:ascii="Times New Roman" w:hAnsi="Times New Roman" w:cs="Times New Roman" w:eastAsia="Times New Roman"/>
                <w:b w:val="false"/>
                <w:sz w:val="26"/>
              </w:rPr>
              <w:t>- Thời hạn giải quyết: 03 ngày làm việc, trường hợp cần phải xác minh thì thời hạn giải quyết được kéo dài nhưng không quá 05 ngày làm việc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Giấy tờ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là căn cứ chứng minh việc thoả thuận cử/chọn người giám sát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sát việc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20.Tkhaingkgimstvicgimh.docx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đăng ký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giám sát việc giám hộ phải là người có năng lực hành vi dân sự đầy đủ nếu là cá nhân, có năng lực pháp luật dân sự phù hợp với việc giám sát nếu là pháp nhân; có điều kiện cần thiết để thực hiện việc giám sát.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2026-05-25T21:21:42Z</dcterms:created>
  <dc:creator>Apache POI</dc:creator>
</cp:coreProperties>
</file>