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khả thi đầu tư xây dựng/ Báo cáo nghiên cứu khả thi đầu tư xây dựng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thẩm định nộp 01 bộ hồ sơ đề nghị thẩm định Báo cáo nghiên cứu khả thi đầu tư xây dựng/ Báo cáo nghiên cứu khả thi đầu tư xây dựng điều chỉnh đến Trung tâm Phục vụ hành chính công tỉnh Điện Biên hoặc Trung tâm Phục vụ hành chính công cấp xã trường hợp được phân cấp (sau đây gọi chung là cơ quan chuyên môn về xây dựng</w:t>
      </w:r>
    </w:p>
    <w:p>
      <w:pPr>
        <w:spacing w:after="0" w:before="0" w:lineRule="auto" w:line="276"/>
        <w:jc w:val="both"/>
      </w:pPr>
      <w:r>
        <w:rPr>
          <w:rFonts w:ascii="Times New Roman" w:hAnsi="Times New Roman" w:cs="Times New Roman" w:eastAsia="Times New Roman"/>
          <w:b w:val="false"/>
          <w:sz w:val="26"/>
        </w:rPr>
        <w:t>- Trong thời hạn 07 ngày sau khi tiếp nhận hồ sơ, cơ quan chuyên môn về xây dựng có trách nhiệm:
+ Gửi văn bản yêu cầu bổ sung hồ sơ đến người đề nghị thẩm định;
+ Gửi văn bản từ chối tiếp nhận thẩm định trong trường hợp xác định nội dung trong hồ sơ thẩm định khác nội dung nêu tại Tờ trình thẩm định.</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quá 01 lần) và có văn bản gửi người đề nghị thẩm định về các lỗi, sai sót về thông tin, số liệu trong nội dung hồ sơ dẫn đến không thể đưa ra kết luận thẩm định.
Trong thời hạn 20 ngày kể từ ngày nhận được yêu cầu của cơ quan chuyên môn về xây dựng, nếu người đề nghị thẩm định không thực hiện việc bổ sung, khắc phục hồ sơ theo yêu cầu thì cơ quan chuyên môn về xây dựng dừng việc thẩm định. Người đề nghị thẩm định nhận lại hồ sơ trình thẩm định tại Bộ phận Một cửa.</w:t>
      </w:r>
    </w:p>
    <w:p>
      <w:pPr>
        <w:spacing w:after="0" w:before="0" w:lineRule="auto" w:line="276"/>
        <w:jc w:val="both"/>
      </w:pPr>
      <w:r>
        <w:rPr>
          <w:rFonts w:ascii="Times New Roman" w:hAnsi="Times New Roman" w:cs="Times New Roman" w:eastAsia="Times New Roman"/>
          <w:b w:val="false"/>
          <w:sz w:val="26"/>
        </w:rPr>
        <w:t>- Trong thời hạn không quá, 35 ngày (đối với dự án nhóm A), 25 ngày (đối với dự án nhóm B), 15 ngày (đối với dự án nhóm C) kể từ ngày nhận đủ hồ sơ hợp lệ, cơ quan chuyên môn về xây dựng ra văn bản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trưởng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Theo quy định tại Thông tư của Bộ trưởng Bộ Tài chính.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Không quá 35 ngày (đối với dự án nhóm A), 25 ngày (đối với dự án nhóm B), dự án nhóm C không quá 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Báo cáo nghiên cứu khả thi đầu tư xây dựng/ Báo cáo nghiên cứu khả thi đầu tư xây dựng điều chỉnh theo Mẫu số 01 Phụ lục I Nghị định số 175/2024/NĐ-CP;</w:t>
            </w:r>
          </w:p>
        </w:tc>
        <w:tc>
          <w:p/>
          <w:p>
            <w:pPr>
              <w:spacing w:after="0" w:before="0" w:lineRule="auto" w:line="276"/>
              <w:jc w:val="left"/>
            </w:pPr>
            <w:r>
              <w:rPr>
                <w:rFonts w:ascii="Times New Roman" w:hAnsi="Times New Roman" w:cs="Times New Roman" w:eastAsia="Times New Roman"/>
                <w:b w:val="false"/>
                <w:sz w:val="26"/>
              </w:rPr>
              <w:t>TotrinhthamdinhBaoconghiencuukhathidautuxaydung-Baocaonghiencuukhathidautuxaydungdieuchinh.docx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bản về chủ trương đầu tư xây dựng công trình (đối với các dự án thuộc diện phải có quyết định/chấp thuận chủ trương đầu tư theo quy định pháp luật về đầu tư, đầu tư công, đầu tư theo phương thức đối tác công tư) hoặc quyết định phê duyệt Đề án du lịch sinh thái, nghỉ dưỡng, giải trí trong rừng đối với dự án du lịch sinh thái, nghỉ dưỡng, giải trí trong rừng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phép đầu tư, Giấy chứng nhận ưu đãi đầu tư, Giấy chứng nhận đầu tư, Giấy chứng nhận đăng ký đầu tư; Quyết định phê duyệt kết quả trúng đấu giá quyền sử dụng đất, trúng đấu thầu dự án có sử dụng đất đối với dự án thuộc trường hợp được chuyển tiếp theo quy định pháp luật về đầu tư không có yêu cầu phải thực hiện chấp thuận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lựa chọn phương án thiết kế kiến trúc thông qua thi tuyển và bản vẽ kèm theo (nếu có yêu cầu thi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bản/quyết định phê duyệt và bản đồ, bản vẽ kèm theo (nếu có) của quy hoạch sử dụng làm căn cứ lập dự án theo quy định tại khoản 2 Điều 13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Các văn bản thỏa thuận, xác nhận về đấu nối hạ tầng kỹ thuật của dự án; văn bản chấp thuận độ cao công trình theo quy định của Chính phủ về quản lý độ cao chướng ngại vật hàng không và các trận địa quản lý, bảo vệ vùng trời tại Việt Nam (trường hợp dự án không thuộc khu vực hoặc đối tượng có yêu cầu lấy ý kiến thống nhất về bề mặt quản lý độ cao công trình tại giai đoạn phê duyệt quy hoạch xây dựng) (nếu có);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bản/quyết định phê duyệt và các bản vẽ có liên quan hoặc trích lục phần bản vẽ có liên quan (nếu có) của quy hoạch được sử dụng làm căn cứ lập quy hoạch quy định tại điểm d khoản 2 Điều 17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kết quả thẩm định báo cáo đánh giá tác động môi trường hoặc giấy phép môi trường theo quy định của pháp luật về bảo vệ môi trường (nếu có yêu cầu theo quy định);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Thủ tục về bảo vệ môi trường được thực hiện theo nguyên tắc đồng thời, không yêu cầu bắt buộc xuất trình các văn bản này tại thời điểm trình hồ sơ thẩm định, nhưng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dựng được phê duyệt; thuyết minh Báo cáo nghiên cứu khả thi đầu tư xây dựng; thiết kế cơ sở hoặc thiết kế khác theo thông lệ quốc tế phục vụ lập Báo cáo nghiên cứu khả thi đầu tư xây dựng (gồm bản vẽ và thuyết minh); danh mục tiêu chuẩn chủ yếu áp dụng cho dự án; Báo cáo kết quả thẩm tra thiết kế cơ sở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các nhà thầu kèm theo mã số chứng chỉ năng lực của nhà thầu khảo sát, nhà thầu lập thiết kế cơ sở, nhà thầu thẩm tra (nếu có); mã số chứng chỉ hành nghề hoạt động xây dựng của các chức danh chủ nhiệm khảo sát xây dựng; chủ nhiệm, chủ trì các bộ môn thiết kế, lập tổng mức đầu tư; chủ nhiệm, chủ trì thẩm tra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dự án sử dụng vốn đầu tư công, vốn nhà nước ngoài đầu tư công, ngoài các nội dung quy định nêu trên, hồ sơ trình thẩm định phải có các nội dung sau: tổng mức đầu tư; các thông tin, số liệu có liên quan về giá, định mức, báo giá, kết quả thẩm định giá (nếu có) để xác định tổng mức đầu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dự án sửa chữa, cải tạo, hồ sơ trình thẩm định còn phải có các nội dung: Hồ sơ khảo sát hiện trạng, Báo cáo kiểm định của tổ chức kiểm định xây dựng đánh giá về khả năng chịu lực của công trình (trường hợp nội dung sửa chữa, cải tạo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hồ sơ nêu trên, đối với dự án có quy mô từ nhóm B trở lên mà có công trình xây dựng mới từ cấp II trở lên, người đề nghị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trình thẩm định Báo cáo nghiên cứu khả thi đầu tư xây dựng điều chỉnh, ngoài các thành phần hồ sơ nêu trên còn phải làm rõ các nội dung sau: + Lý do, mục tiêu điều chỉnh dự án, việc đáp ứng điều kiện điều chỉnh dự án theo pháp luật có liên quan đối với dự án đầu tư xây dựng sử dụng vốn đầu tư công, vốn nhà nước ngoài đầu tư công, dự án PPP; + Báo cáo của chủ đầu tư về quá trình thực hiện dự án, tình hình thực tế thi công các công trình xây dựng của dự án đến thời điểm đề xuất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 tỉnh Điện Biên, Sở Nông nghiệp và Môi trường - tỉnh Điện Biên,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Báo cáo nghiên cứu khả thi đầu tư xây dựng/ Báo cáo nghiên cứu khả thi đầu tư xây dựng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62/2020/QH14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84/2024/NĐ-CP</w:t>
            </w:r>
          </w:p>
        </w:tc>
        <w:tc>
          <w:p/>
          <w:p>
            <w:pPr>
              <w:spacing w:after="0" w:before="0" w:lineRule="auto" w:line="276"/>
              <w:jc w:val="left"/>
            </w:pPr>
            <w:r>
              <w:rPr>
                <w:rFonts w:ascii="Times New Roman" w:hAnsi="Times New Roman" w:cs="Times New Roman" w:eastAsia="Times New Roman"/>
                <w:b w:val="false"/>
                <w:sz w:val="26"/>
              </w:rPr>
              <w:t>về thí điểm phân cấp quản lý nhà nước một số lĩnh vực cho chính quyền Thành phố Hồ Chí Minh.</w:t>
            </w:r>
          </w:p>
        </w:tc>
        <w:tc>
          <w:p/>
          <w:p>
            <w:pPr>
              <w:spacing w:after="0" w:before="0" w:lineRule="auto" w:line="276"/>
              <w:jc w:val="left"/>
            </w:pPr>
            <w:r>
              <w:rPr>
                <w:rFonts w:ascii="Times New Roman" w:hAnsi="Times New Roman" w:cs="Times New Roman" w:eastAsia="Times New Roman"/>
                <w:b w:val="false"/>
                <w:sz w:val="26"/>
              </w:rPr>
              <w:t>10-07-2024</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65/2025/QĐ-UBND</w:t>
            </w:r>
          </w:p>
        </w:tc>
        <w:tc>
          <w:p/>
          <w:p>
            <w:pPr>
              <w:spacing w:after="0" w:before="0" w:lineRule="auto" w:line="276"/>
              <w:jc w:val="left"/>
            </w:pPr>
            <w:r>
              <w:rPr>
                <w:rFonts w:ascii="Times New Roman" w:hAnsi="Times New Roman" w:cs="Times New Roman" w:eastAsia="Times New Roman"/>
                <w:b w:val="false"/>
                <w:sz w:val="26"/>
              </w:rPr>
              <w:t>Quyết định Ban hành quy định phân công, phân cấp về thẩm định Báo cáo nghiên cứu khả thi, Báo cáo kinh tế - kỹ thuật và thiết kế xây dựng triển khai sau thiết kế cơ sở của dự án đầu tư xây dựng trên địa bàn tỉnh Điện Biên</w:t>
            </w:r>
          </w:p>
        </w:tc>
        <w:tc>
          <w:p/>
          <w:p>
            <w:pPr>
              <w:spacing w:after="0" w:before="0" w:lineRule="auto" w:line="276"/>
              <w:jc w:val="left"/>
            </w:pPr>
            <w:r>
              <w:rPr>
                <w:rFonts w:ascii="Times New Roman" w:hAnsi="Times New Roman" w:cs="Times New Roman" w:eastAsia="Times New Roman"/>
                <w:b w:val="false"/>
                <w:sz w:val="26"/>
              </w:rPr>
              <w:t>10-10-2025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2 Điều 17 Nghị định số 175/2024/NĐ-CP ngày 30/12/2024 của Chính phủ quy định chi tiết một số điều và biện pháp thi hành Luật Xây dựng về quản lý hoạt động xây dựng, đúng quy cách theo quy định tại Điều 37 Nghị định số 175/2024/NĐ-CP ngày 30/12/2024 của Chính phủ quy định chi tiết một số điều và biện pháp thi hành Luật Xây dựng về quản lý hoạt động xây dựng,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2026-05-11T11:27:08Z</dcterms:created>
  <dc:creator>Apache POI</dc:creator>
</cp:coreProperties>
</file>