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tài sản kết cấu hạ tầng thủy lợi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Uỷ ban nhân dân cấp tỉnh quản lý</w:t>
      </w:r>
    </w:p>
    <w:p>
      <w:pPr>
        <w:spacing w:after="0" w:before="0" w:lineRule="auto" w:line="276"/>
        <w:jc w:val="both"/>
      </w:pPr>
      <w:r>
        <w:rPr>
          <w:rFonts w:ascii="Times New Roman" w:hAnsi="Times New Roman" w:cs="Times New Roman" w:eastAsia="Times New Roman"/>
          <w:b w:val="false"/>
          <w:sz w:val="26"/>
        </w:rPr>
        <w:t>a1) Chủ đầu tư dự án lập hồ sơ đề nghị giao tài sản gửi cơ quan chuyên môn về thủy lợi Trung tâm Phục vụ hành chính công tỉnh Điện Biên.
Sở Nông nghiệp và Phát triển nông thôn chủ trì, phối hợp với cơ quan được giao thực hiện nhiệm vụ quản lý tài sản công cấp tỉnh và cơ quan, đơn vị có liên quan của địa phương trình Uỷ ban nhân dân cấp tỉnh xem xét, quyết định giao tài sản (đối với tài sản kết cấu hạ tầng thủy lợi do Uỷ ban nhân dân cấp tỉnh quản lý).
a3) Sau khi có Quyết định giao tài sản kết cấu hạ tầng thủy lợi của Uỷ ban nhân dân cấp tỉnh, các đối tượng có liên quan thực hiện việc bàn giao, tiếp nhận tài sản.</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Ủy ban nhân dân cấp xã quản lý</w:t>
      </w:r>
    </w:p>
    <w:p>
      <w:pPr>
        <w:spacing w:after="0" w:before="0" w:lineRule="auto" w:line="276"/>
        <w:jc w:val="both"/>
      </w:pPr>
      <w:r>
        <w:rPr>
          <w:rFonts w:ascii="Times New Roman" w:hAnsi="Times New Roman" w:cs="Times New Roman" w:eastAsia="Times New Roman"/>
          <w:b w:val="false"/>
          <w:sz w:val="26"/>
        </w:rPr>
        <w:t>a1) Chủ đầu tư dự án lập hồ sơ đề nghị giao tài sản gửi Trung tâm phục vụ hành chính công cấp xã.
a2) Cơ quan chuyên môn về thủy lợi cấp xã chủ trì, phối hợp với cơ quan được giao thực hiện nhiệm vụ quản lý tài sản công cấp xã và cơ quan, đơn vị có liên quan của địa phương trình Uỷ ban nhân dân cấp xã xem xét, quyết định giao tài sản.
a3) Sau khi có Quyết định giao tài sản kết cấu hạ tầng thủy lợi của Uỷ ban nhân dân cấp xã, các cơ quan, đơn vị có liên quan thực hiện việc bàn giao, tiếp nhận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Bộ Nông nghiệp và Môi trường/Uỷ ban nhân dân cấp tỉnh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chủ đầu tư dự án về việc giao tài sản cho đối tượng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đề nghị được giao tài sản của đối tượng quy định tại khoản 3 Điều 6 Nghị định số 8/2025/NĐ-CP (trong trường hợp dự kiến giao tài sản cho doanh nghiệp nhà nước hoặc đơn vị sự nghiệp công lập)- (áp dụng đối với trường hợp giao tài sản kết cấu hạ tầng thủy lợi do Uỷ ban nhân dân cấp tỉnh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hoàn thành công trình: Quyết định phê duyệt dự án đầu tư; bản vẽ hoàn công; quy trình vận hành, quy trình bảo trì; biên bản nghiệm thu hoàn thành công trình/hạng mục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phê duyệt quyết toán/Biên bản nghiệm thu A-B (trong trường hợp chưa có văn bản phê duyệt quyết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pháp lý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tài sản đề nghị giao (tên tài sản, địa chỉ, loại công trình; năm xây dựng, năm đưa vào sử dụng; quy mô công trình; diện tích đất gắn với công trình thủy lợi; nguyên giá tài sản xác định theo khoản 3 Điều 11 Nghị định số 8/2025/NĐ-CP ngày 09/01/2025)</w:t>
            </w:r>
          </w:p>
        </w:tc>
        <w:tc>
          <w:p/>
          <w:p>
            <w:pPr>
              <w:spacing w:after="0" w:before="0" w:lineRule="auto" w:line="276"/>
              <w:jc w:val="left"/>
            </w:pPr>
            <w:r>
              <w:rPr>
                <w:rFonts w:ascii="Times New Roman" w:hAnsi="Times New Roman" w:cs="Times New Roman" w:eastAsia="Times New Roman"/>
                <w:b w:val="false"/>
                <w:sz w:val="26"/>
              </w:rPr>
              <w:t>Mu01DM.docx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Ủy ban nhân dân cấp xã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hoàn thành công trình: Quyết định phê duyệt dự án đầu tư; bản vẽ hoàn công; quy trình vận hành, quy trình bảo trì; biên bản nghiệm thu hoàn thành công trình/hạng mục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pháp lý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phê duyệt quyết toán/Biên bản nghiệm thu A-B (trong trường hợp chưa có văn bản phê duyệt quyết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của chủ đầu tư dự án về việc giao tài sản cho đối tượng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Quyết định phê duyệt dự án đầu tư xây dựngg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đề nghị được giao tài sản của đối tượng quy định tại khoản 4 Điều 6 Nghị định số 8/2025/NĐ-CP (trong trường hợp dự kiến giao tài sản cho đơn vị sự nghiệp công lập cấp huyện)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giao (tên tài sản, địa chỉ, loại công trình; năm xây dựng, năm đưa vào sử dụng; quy mô công trình; diện tích đất gắn với công trình thủy lợi; nguyên giá tài sản xác định theo khoản 3 Điều 11 Nghị định số 8/2025/NĐ-CP)</w:t>
            </w:r>
          </w:p>
        </w:tc>
        <w:tc>
          <w:p/>
          <w:p>
            <w:pPr>
              <w:spacing w:after="0" w:before="0" w:lineRule="auto" w:line="276"/>
              <w:jc w:val="left"/>
            </w:pPr>
            <w:r>
              <w:rPr>
                <w:rFonts w:ascii="Times New Roman" w:hAnsi="Times New Roman" w:cs="Times New Roman" w:eastAsia="Times New Roman"/>
                <w:b w:val="false"/>
                <w:sz w:val="26"/>
              </w:rPr>
              <w:t>Mu01DM.docx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tài sản kết cấu hạ tầng thủy lợi của Uỷ ban nhân dân cấp xã, Quyết định giao tài sản kết cấu hạ tầng thủy lợi của Bộ trưởng Bộ Nông nghiệp và Môi trường, Uỷ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2026-05-09T06:38:21Z</dcterms:created>
  <dc:creator>Apache POI</dc:creator>
</cp:coreProperties>
</file>