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1.013227.H50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484/QĐ-UBND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 giấy phép xây dựng đối với công trình cấp III, cấp IV (công trình Không theo tuyến/Theo tuyến trong đô thị/Tín ngưỡng, tôn giáo/Tượng đài, tranh hoành tráng/Sửa chữa, cải tạo/Theo giai đoạn cho công trình không theo tuyến/Theo giai đoạn cho công trình theo tuyến trong đô thị/Dự án) và nhà ở riêng lẻ</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Chủ đầu tư nộp 02 bộ hồ sơ đề nghị cấp gia hạn giấy phép xây dựng cho Trung tâm phục vụ hành chính công cấp xã, thời gian nhận hồ sơ và trả kết quả vào giờ hành chính các ngày làm việc trong tuần (trừ ngày lễ, tết).
- Trong thời hạn 05 ngày làm việc kể từ ngày nhận đủ hồ sơ hợp lệ, UBND cấp xã có trách nhiệm xem xét gia hạn giấy phép xây dựng.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 Nộp trực tiếp, qua dịch vụ BCCI: 15.000đ. - Nộp trực tuyến:  12.000đ.)</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 Nộp trực tiếp, qua dịch vụ BCCI: 15.000đ. - Nộp trực tuyến:  12.000đ.)</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 Nộp trực tiếp, qua dịch vụ BCCI: 15.000đ. - Nộp trực tuyến:  12.000đ.)</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gia hạn giấy phép xây dựng theo Mẫu số 2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2.M02.PLII.GH.docx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giấy phép xây dựng đã được cấp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Giấy phép xây dựng được gia hạn.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07/2016/NQ-HĐND</w:t>
            </w:r>
          </w:p>
        </w:tc>
        <w:tc>
          <w:p/>
          <w:p>
            <w:pPr>
              <w:spacing w:after="0" w:before="0" w:lineRule="auto" w:line="276"/>
              <w:jc w:val="left"/>
            </w:pPr>
            <w:r>
              <w:rPr>
                <w:rFonts w:ascii="Times New Roman" w:hAnsi="Times New Roman" w:cs="Times New Roman" w:eastAsia="Times New Roman"/>
                <w:b w:val="false"/>
                <w:sz w:val="26"/>
              </w:rPr>
              <w:t>Quy định mức thu các loại phí, lệ phí, học phí, tỷ lệ phần trăm trích lại cho đơn vị thu phí và bãi bỏ Quỹ Quốc phòng - An ninh trên địa bàn tỉnh Quảng Bình.</w:t>
            </w:r>
          </w:p>
        </w:tc>
        <w:tc>
          <w:p/>
          <w:p>
            <w:pPr>
              <w:spacing w:after="0" w:before="0" w:lineRule="auto" w:line="276"/>
              <w:jc w:val="left"/>
            </w:pPr>
            <w:r>
              <w:rPr>
                <w:rFonts w:ascii="Times New Roman" w:hAnsi="Times New Roman" w:cs="Times New Roman" w:eastAsia="Times New Roman"/>
                <w:b w:val="false"/>
                <w:sz w:val="26"/>
              </w:rPr>
              <w:t>24-10-2016</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02/2021/NQ-HĐND</w:t>
            </w:r>
          </w:p>
        </w:tc>
        <w:tc>
          <w:p/>
          <w:p>
            <w:pPr>
              <w:spacing w:after="0" w:before="0" w:lineRule="auto" w:line="276"/>
              <w:jc w:val="left"/>
            </w:pPr>
            <w:r>
              <w:rPr>
                <w:rFonts w:ascii="Times New Roman" w:hAnsi="Times New Roman" w:cs="Times New Roman" w:eastAsia="Times New Roman"/>
                <w:b w:val="false"/>
                <w:sz w:val="26"/>
              </w:rPr>
              <w:t>Nghị quyết Quy định mức thu phí, lệ phí trong cung cấp một số dịch vụ công trực tuyến trên địa bàn tỉnh Quảng Bình</w:t>
            </w:r>
          </w:p>
        </w:tc>
        <w:tc>
          <w:p/>
          <w:p>
            <w:pPr>
              <w:spacing w:after="0" w:before="0" w:lineRule="auto" w:line="276"/>
              <w:jc w:val="left"/>
            </w:pPr>
            <w:r>
              <w:rPr>
                <w:rFonts w:ascii="Times New Roman" w:hAnsi="Times New Roman" w:cs="Times New Roman" w:eastAsia="Times New Roman"/>
                <w:b w:val="false"/>
                <w:sz w:val="26"/>
              </w:rPr>
              <w:t>13-08-2021</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 Xây dựng năm 2014</w:t>
            </w:r>
          </w:p>
        </w:tc>
        <w:tc>
          <w:p/>
          <w:p>
            <w:pPr>
              <w:spacing w:after="0" w:before="0" w:lineRule="auto" w:line="276"/>
              <w:jc w:val="left"/>
            </w:pPr>
            <w:r>
              <w:rPr>
                <w:rFonts w:ascii="Times New Roman" w:hAnsi="Times New Roman" w:cs="Times New Roman" w:eastAsia="Times New Roman"/>
                <w:b w:val="false"/>
                <w:sz w:val="26"/>
              </w:rPr>
              <w:t>18-06-2014</w:t>
            </w:r>
          </w:p>
        </w:tc>
        <w:tc>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Xây dựng năm 2020</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175/2024/NĐ-CP</w:t>
            </w:r>
          </w:p>
        </w:tc>
        <w:tc>
          <w:p/>
          <w:p>
            <w:pPr>
              <w:spacing w:after="0" w:before="0" w:lineRule="auto" w:line="276"/>
              <w:jc w:val="left"/>
            </w:pPr>
            <w:r>
              <w:rPr>
                <w:rFonts w:ascii="Times New Roman" w:hAnsi="Times New Roman" w:cs="Times New Roman" w:eastAsia="Times New Roman"/>
                <w:b w:val="false"/>
                <w:sz w:val="26"/>
              </w:rPr>
              <w:t>Nghị định số 175/2024/NĐ-CP của Chính phủ quy định chi tiết một số điều và biện pháp thi hành Luật Xây dựng về quản lý hoạt động xây dựng</w:t>
            </w:r>
          </w:p>
        </w:tc>
        <w:tc>
          <w:p/>
          <w:p>
            <w:pPr>
              <w:spacing w:after="0" w:before="0" w:lineRule="auto" w:line="276"/>
              <w:jc w:val="left"/>
            </w:pPr>
            <w:r>
              <w:rPr>
                <w:rFonts w:ascii="Times New Roman" w:hAnsi="Times New Roman" w:cs="Times New Roman" w:eastAsia="Times New Roman"/>
                <w:b w:val="false"/>
                <w:sz w:val="26"/>
              </w:rPr>
              <w:t>30-12-2024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484/QĐ-UBND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ban hành mới, bị bãi bỏ trong lĩnh vực Hoạt động xây dựng thuộc thẩm quyền giải quyết của UBND tỉnh, Sở Xây dựng, các cơ quan chuyên môn về xây dựng,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18-08-2025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2026-05-02T10:22:28Z</dcterms:created>
  <dc:creator>Apache POI</dc:creator>
</cp:coreProperties>
</file>