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khoáng sản nhóm 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trực tiếp</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khai thác khoáng sản nhóm IV nộp hồ sơ đề nghị đến Bộ phận Tiếp nhận và Trả kết quả Sở Nông nghiệp và Môi trường tỉnh Điện Biên (Tổ 1, phường Tân Thanh, thành phố Điện Biên Phủ, tỉnh Điện Biên).
- Bước 2. Kiểm tra hồ sơ: 
Công chức, viên chức tiếp nhận hồ sơ có trách nhiệm xem xét tính đầy đủ, hợp lệ của hồ sơ. Trường hợp:
+ Hồ sơ đủ thành phần theo quy định thì tiếp nhận hồ sơ. 
+ Hồ sơ chưa đầy đủ thành phần, không tiếp nhận hồ sơ và nêu rõ lý do không tiếp nhận trong phiếu yêu cầu bổ sung, hoàn thiện hồ sơ theo quy định của Chính phủ về việc tiếp nhận hồ sơ thủ tục hành chính.
- Bước 3. Thẩm định hồ sơ
+ Sở Nông nghiệp và Môi trường thẩm định hồ sơ cấp giấy phép khai thác khoáng sản nhóm IV có trách nhiệm kiểm tra, rà soát các tài liệu, hồ sơ và các nội dung có liên quan đến việc cấp giấy phép khai thác; kiểm tra tại thực địa;
+ Gửi văn bản lấy ý kiến cơ quan chuyên môn về xây dựng, văn hoá, lâm nghiệp, đê điều, thuỷ lợi, thuỷ điện, tôn giáo, giao thông, viễn thông, quốc phòng, an ninh thuộc Ủy ban nhân dân cấp tỉnh về khu vực cấm hoạt động khoáng sản, khu vực tạm thời cấm hoạt động khoáng sản và các nội dung liên quan đến việc cấp giấy phép khai thác (trường hợp cần thiết).
+ Hoàn thành việc thẩm định các tài liệu, hồ sơ và các nội dung khác có liên quan đến việc cấp giấy phép khai thác khoáng sản nhóm IV và xác định tiền cấp quyền khai thác khoáng sản; trình hồ sơ cấp giấy phép khai thác, phê duyệt tiền cấp quyền khai thác khoáng sản cho Ủy ban nhân dân tỉnh.
Trong quá trình thẩm định, trình hồ sơ cấp giấy phép khai thác:
+ Trường hợp phải bổ sung, hoàn thiện hồ sơ, cơ quan thẩm định hồ sơ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được phát sinh nội dung yêu cầu mới. Thời gian hoàn thiện, bổ sung hồ sơ không tính vào thời gian thẩm định, trình cấp giấy phép khai thác.
+ Trường hợp sau khi bổ sung, hoàn thiện lại mà hồ sơ vẫn không đáp ứng yêu cầu theo quy định, cơ quan thẩm định hồ sơ dừng thẩm định và trả lại hồ sơ đề nghị cấp giấy phép khai thác. Tổ chức, cá nhân thuộc trường hợp này được quyền nộp lại hồ sơ nhưng sẽ được tính là hồ sơ nộp mới.
- Bước 4. Trình hồ sơ đề nghị cấp phép
Căn cứ kết quả thẩm định hồ sơ, Sở Nông nghiệp và Môi trường hoàn chỉnh và trình hồ sơ cấp giấy phép khai thác khoáng sản nhóm IV, phê duyệt tiền cấp quyền khai thác khoáng sản cho Ủy ban nhân dân tỉnh quyết định cấp hoặc không cấp Giấy phép khai thác khoáng sản nhóm IV.
- Bước 5. Trả kết quả giải quyết thủ tục hành chính
Sở Nông nghiệp và Môi trường thông báo cho tổ chức đề nghị cấp giấy phép khai thác để nhận kết quả giải quyết hồ sơ đề nghị cấp giấy phép khai thác và thực hiện các nghĩa vụ có liên quan theo quy định. Khi nhận đủ văn bản chứng minh việc thực hiện các nghĩa vụ tài chính có liên quan, bộ phận một cửa bàn giao giấy phép khai thác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7.500.000 Đồng</w:t>
              <w:t xml:space="preserve"> (+ Giấy phép khai thác khoáng sản có diện tích khai thác dưới 10ha và công suất khai thác dưới 100.000 m3/năm mức thu lệ phí  7.5000.000 đồng/giấy phép.)</w:t>
            </w:r>
          </w:p>
          <w:p>
            <w:pPr>
              <w:spacing w:after="0" w:before="0" w:lineRule="auto" w:line="276"/>
              <w:jc w:val="left"/>
            </w:pPr>
            <w:r>
              <w:rPr>
                <w:rFonts w:ascii="Times New Roman" w:hAnsi="Times New Roman" w:cs="Times New Roman" w:eastAsia="Times New Roman"/>
                <w:b w:val="false"/>
                <w:sz w:val="26"/>
              </w:rPr>
              <w:t>Lệ phí : 10.000.000 Đồng</w:t>
              <w:t xml:space="preserve"> (+ Giấy phép khai thác khoáng sản có diện tích khai thác từ 10 ha trở lên và công suất khai thác dưới 100.000 m3 /năm hoặc loại hoạt động khai thác khoáng sản làm vật liệu xây dựng thông thường có diện tích dưới 10 ha và công suất khai thác từ 100.000 m3 /năm trở lên mức thu lệ phí 10.000.000 đồng/giấy phép)</w:t>
            </w:r>
          </w:p>
          <w:p>
            <w:pPr>
              <w:spacing w:after="0" w:before="0" w:lineRule="auto" w:line="276"/>
              <w:jc w:val="left"/>
            </w:pPr>
            <w:r>
              <w:rPr>
                <w:rFonts w:ascii="Times New Roman" w:hAnsi="Times New Roman" w:cs="Times New Roman" w:eastAsia="Times New Roman"/>
                <w:b w:val="false"/>
                <w:sz w:val="26"/>
              </w:rPr>
              <w:t>Lệ phí : 15.000.000 Đồng</w:t>
              <w:t xml:space="preserve"> (+ Giấy phép khai thác khoáng sản có diện tích từ 10 ha trở lên và công suất khai thác từ 100.000 m3 /năm trở lên mức thu lệ phí 15.000.000 đồng/giấy phép.)</w:t>
            </w:r>
          </w:p>
        </w:tc>
        <w:tc>
          <w:p/>
          <w:p>
            <w:pPr>
              <w:spacing w:after="0" w:before="0" w:lineRule="auto" w:line="276"/>
              <w:jc w:val="left"/>
            </w:pPr>
            <w:r>
              <w:rPr>
                <w:rFonts w:ascii="Times New Roman" w:hAnsi="Times New Roman" w:cs="Times New Roman" w:eastAsia="Times New Roman"/>
                <w:b w:val="false"/>
                <w:sz w:val="26"/>
              </w:rPr>
              <w:t>+ Đối với tổ chức, cá nhân quy định tại khoản 1 Điều 72 của Luật Địa chất và khoáng sản số 54/2024/QH15 ngày 29 tháng 11 năm 2024: Không quá 28 ngày làm việc: 
+ Đối với tổ chức quy định tại khoản 2 Điều 72 của Luật Địa chất và khoáng sản số 54/2024/QH15 ngày 29 tháng 11 năm 2024: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7.500.000 Đồng</w:t>
              <w:t xml:space="preserve"> (+ Giấy phép khai thác khoáng sản có diện tích khai thác dưới 10ha và công suất khai thác dưới 100.000 m3/năm mức thu lệ phí  7.5000.000 đồng/giấy phép.)</w:t>
            </w:r>
          </w:p>
          <w:p>
            <w:pPr>
              <w:spacing w:after="0" w:before="0" w:lineRule="auto" w:line="276"/>
              <w:jc w:val="left"/>
            </w:pPr>
            <w:r>
              <w:rPr>
                <w:rFonts w:ascii="Times New Roman" w:hAnsi="Times New Roman" w:cs="Times New Roman" w:eastAsia="Times New Roman"/>
                <w:b w:val="false"/>
                <w:sz w:val="26"/>
              </w:rPr>
              <w:t>Lệ phí : 10.000.000 Đồng</w:t>
              <w:t xml:space="preserve"> (+ Giấy phép khai thác khoáng sản có diện tích khai thác từ 10 ha trở lên và công suất khai thác dưới 100.000 m3 /năm hoặc loại hoạt động khai thác khoáng sản làm vật liệu xây dựng thông thường có diện tích dưới 10 ha và công suất khai thác từ 100.000 m3 /năm trở lên mức thu lệ phí 10.000.000 đồng/giấy phép)</w:t>
            </w:r>
          </w:p>
          <w:p>
            <w:pPr>
              <w:spacing w:after="0" w:before="0" w:lineRule="auto" w:line="276"/>
              <w:jc w:val="left"/>
            </w:pPr>
            <w:r>
              <w:rPr>
                <w:rFonts w:ascii="Times New Roman" w:hAnsi="Times New Roman" w:cs="Times New Roman" w:eastAsia="Times New Roman"/>
                <w:b w:val="false"/>
                <w:sz w:val="26"/>
              </w:rPr>
              <w:t>Lệ phí : 15.000.000 Đồng</w:t>
              <w:t xml:space="preserve"> (+ Giấy phép khai thác khoáng sản có diện tích từ 10 ha trở lên và công suất khai thác từ 100.000 m3 /năm trở lên mức thu lệ phí 15.000.000 đồng/giấy phép.)</w:t>
            </w:r>
          </w:p>
        </w:tc>
        <w:tc>
          <w:p/>
          <w:p>
            <w:pPr>
              <w:spacing w:after="0" w:before="0" w:lineRule="auto" w:line="276"/>
              <w:jc w:val="left"/>
            </w:pPr>
            <w:r>
              <w:rPr>
                <w:rFonts w:ascii="Times New Roman" w:hAnsi="Times New Roman" w:cs="Times New Roman" w:eastAsia="Times New Roman"/>
                <w:b w:val="false"/>
                <w:sz w:val="26"/>
              </w:rPr>
              <w:t>+ Đối với tổ chức, cá nhân quy định tại khoản 1 Điều 72 của Luật Địa chất và khoáng sản số 54/2024/QH15 ngày 29 tháng 11 năm 2024: Không quá 28 ngày làm việc: 
+ Đối với tổ chức quy định tại khoản 2 Điều 72 của Luật Địa chất và khoáng sản số 54/2024/QH15 ngày 29 tháng 11 năm 2024: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7.500.000 Đồng</w:t>
              <w:t xml:space="preserve"> (+ Giấy phép khai thác khoáng sản có diện tích khai thác dưới 10ha và công suất khai thác dưới 100.000 m3/năm mức thu lệ phí  7.5000.000 đồng/giấy phép.)</w:t>
            </w:r>
          </w:p>
          <w:p>
            <w:pPr>
              <w:spacing w:after="0" w:before="0" w:lineRule="auto" w:line="276"/>
              <w:jc w:val="left"/>
            </w:pPr>
            <w:r>
              <w:rPr>
                <w:rFonts w:ascii="Times New Roman" w:hAnsi="Times New Roman" w:cs="Times New Roman" w:eastAsia="Times New Roman"/>
                <w:b w:val="false"/>
                <w:sz w:val="26"/>
              </w:rPr>
              <w:t>Lệ phí : 10.000.000 Đồng</w:t>
              <w:t xml:space="preserve"> (+ Giấy phép khai thác khoáng sản có diện tích khai thác từ 10 ha trở lên và công suất khai thác dưới 100.000 m3 /năm hoặc loại hoạt động khai thác khoáng sản làm vật liệu xây dựng thông thường có diện tích dưới 10 ha và công suất khai thác từ 100.000 m3 /năm trở lên mức thu lệ phí 10.000.000 đồng/giấy phép)</w:t>
            </w:r>
          </w:p>
          <w:p>
            <w:pPr>
              <w:spacing w:after="0" w:before="0" w:lineRule="auto" w:line="276"/>
              <w:jc w:val="left"/>
            </w:pPr>
            <w:r>
              <w:rPr>
                <w:rFonts w:ascii="Times New Roman" w:hAnsi="Times New Roman" w:cs="Times New Roman" w:eastAsia="Times New Roman"/>
                <w:b w:val="false"/>
                <w:sz w:val="26"/>
              </w:rPr>
              <w:t>Lệ phí : 15.000.000 Đồng</w:t>
              <w:t xml:space="preserve"> (+ Giấy phép khai thác khoáng sản có diện tích từ 10 ha trở lên và công suất khai thác từ 100.000 m3 /năm trở lên mức thu lệ phí 15.000.000 đồng/giấy phép.)</w:t>
            </w:r>
          </w:p>
        </w:tc>
        <w:tc>
          <w:p/>
          <w:p>
            <w:pPr>
              <w:spacing w:after="0" w:before="0" w:lineRule="auto" w:line="276"/>
              <w:jc w:val="left"/>
            </w:pPr>
            <w:r>
              <w:rPr>
                <w:rFonts w:ascii="Times New Roman" w:hAnsi="Times New Roman" w:cs="Times New Roman" w:eastAsia="Times New Roman"/>
                <w:b w:val="false"/>
                <w:sz w:val="26"/>
              </w:rPr>
              <w:t>+ Đối với tổ chức, cá nhân quy định tại khoản 1 Điều 72 của Luật Địa chất và khoáng sản số 54/2024/QH15 ngày 29 tháng 11 năm 2024: Không quá 28 ngày làm việc: 
+ Đối với tổ chức quy định tại khoản 2 Điều 72 của Luật Địa chất và khoáng sản số 54/2024/QH15 ngày 29 tháng 11 năm 2024: Không quá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tổ chức, cá nhân quy định tại khoản 1 Điều 72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khai thác</w:t>
            </w:r>
          </w:p>
        </w:tc>
        <w:tc>
          <w:p/>
          <w:p>
            <w:pPr>
              <w:spacing w:after="0" w:before="0" w:lineRule="auto" w:line="276"/>
              <w:jc w:val="left"/>
            </w:pPr>
            <w:r>
              <w:rPr>
                <w:rFonts w:ascii="Times New Roman" w:hAnsi="Times New Roman" w:cs="Times New Roman" w:eastAsia="Times New Roman"/>
                <w:b w:val="false"/>
                <w:sz w:val="26"/>
              </w:rPr>
              <w:t>Mauso03_VanbandenghicapgiayphepkhaithackhoangsannhomIV.doc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bản chính để đối chiếu hoặc bản sao điện tử có chứng thực từ bản chính: Dự án khai thác khoáng sản được phê duyệt theo quy định, báo cáo kết quả thăm dò khoáng sản hoặc báo cáo kết quả khảo sát thông tin chung về khoáng sản nhóm IV, các văn bản chứng minh vốn chủ sở hữu theo quy định tại Điều 9 của Nghị định số 158/2016/NĐ-CP ngày 29 tháng 11 năm 2016 của Chính phủ quy định chi tiết thi hành một số điều của Luật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tổ chức quy định tại khoản 2 Điều 72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cấp giấy phép khai thác, phương án khai thác khoáng sản nhóm IV</w:t>
            </w:r>
          </w:p>
        </w:tc>
        <w:tc>
          <w:p/>
          <w:p>
            <w:pPr>
              <w:spacing w:after="0" w:before="0" w:lineRule="auto" w:line="276"/>
              <w:jc w:val="left"/>
            </w:pPr>
            <w:r>
              <w:rPr>
                <w:rFonts w:ascii="Times New Roman" w:hAnsi="Times New Roman" w:cs="Times New Roman" w:eastAsia="Times New Roman"/>
                <w:b w:val="false"/>
                <w:sz w:val="26"/>
              </w:rPr>
              <w:t>Mauso03_VanbandenghicapgiayphepkhaithackhoangsannhomIV.doc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bản chính để đối chiếu hoặc bản sao điện tử có chứng thực từ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khoáng sản nhóm IV</w:t>
            </w:r>
          </w:p>
        </w:tc>
        <w:tc>
          <w:p/>
          <w:p>
            <w:pPr>
              <w:spacing w:after="0" w:before="0" w:lineRule="auto" w:line="276"/>
              <w:jc w:val="left"/>
            </w:pPr>
            <w:r>
              <w:rPr>
                <w:rFonts w:ascii="Times New Roman" w:hAnsi="Times New Roman" w:cs="Times New Roman" w:eastAsia="Times New Roman"/>
                <w:b w:val="false"/>
                <w:sz w:val="26"/>
              </w:rPr>
              <w:t>Mauso11_PhuongankhaithackhoangsannhomIV.doc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(gia hạn) thuộc thẩm quyền cấp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ĐỊA CHẤT VÀ KHOÁNG SẢN VỀ KHAI THÁC KHOÁNG SẢN NHÓM IV</w:t>
            </w:r>
          </w:p>
        </w:tc>
        <w:tc>
          <w:p/>
          <w:p>
            <w:pPr>
              <w:spacing w:after="0" w:before="0" w:lineRule="auto" w:line="276"/>
              <w:jc w:val="left"/>
            </w:pPr>
            <w:r>
              <w:rPr>
                <w:rFonts w:ascii="Times New Roman" w:hAnsi="Times New Roman" w:cs="Times New Roman" w:eastAsia="Times New Roman"/>
                <w:b w:val="false"/>
                <w:sz w:val="26"/>
              </w:rPr>
              <w:t>15-01-2025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01/2025/TT-BTNMT</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ĐỊA CHẤT VÀ KHOÁNG SẢN VỀ KHAI THÁC KHOÁNG SẢN NHÓM IV</w:t>
            </w:r>
          </w:p>
        </w:tc>
        <w:tc>
          <w:p/>
          <w:p>
            <w:pPr>
              <w:spacing w:after="0" w:before="0" w:lineRule="auto" w:line="276"/>
              <w:jc w:val="left"/>
            </w:pPr>
            <w:r>
              <w:rPr>
                <w:rFonts w:ascii="Times New Roman" w:hAnsi="Times New Roman" w:cs="Times New Roman" w:eastAsia="Times New Roman"/>
                <w:b w:val="false"/>
                <w:sz w:val="26"/>
              </w:rPr>
              <w:t>15-01-2025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tổ chức, cá nhân quy định tại khoản 1 Điều 72 của Luật Địa chất và khoáng sản:
+ Có quyết định chủ trương đầu tư hoặc văn bản chấp thuận chủ trương đầu tư đối với dự án đầu tư khai thác khoáng sản thuộc diện phải chấp thuận chủ trương đầu tư theo quy định của pháp luật về đầu tư;
+ Có quyết định phê duyệt báo cáo kết quả thẩm định báo cáo đánh giá tác động môi trường hoặc giấy phép môi trường theo quy định của pháp luật về bảo vệ môi trường;
+ Phù hợp với nguyên tắc khai thác khoáng sản quy định tại khoản 2 Điều 73 của Luật Địa chất và khoáng sản;
+ Khu vực đề nghị cấp giấy phép khai thác đã có kết quả khảo sát, đánh giá thông tin chung đối với khoáng sản nhóm IV hoặc kết quả thăm dò khoáng sản được cơ quan có thẩm quyền xác nhận, công nhận hoặc phê duyệt;
+ Có hồ sơ đủ điều kiện tiếp nhận theo quy định tại điểm a khoản 3 Điều 6 Nghị định số 11/2025/NĐ-CP ngày 15 tháng 01 năm 2025 của Chính phủ quy định chi tiết một số điều của Luật Địa chất và khoáng sản về khai thác khoáng sản nhóm IV.
- Đối với tổ chức quy định tại khoản 2 Điều 72 của Luật Địa chất và khoáng sản:
+ Phù hợp với nguyên tắc khai thác khoáng sản quy định tại khoản 2 Điều 73 của Luật Địa chất và khoáng sản;
+ Khu vực đề nghị cấp giấy phép khai thác đã có kết quả khảo sát, đánh giá thông tin chung đối với khoáng sản nhóm IV hoặc kết quả thăm dò khoáng sản được cơ quan có thẩm quyền xác nhận, công nhận hoặc phê duyệt;
+ Có hồ sơ đủ điều kiện tiếp nhận theo quy định tại điểm b khoản 3 Điều 6 Nghị định số 11/2025/NĐ-CP ngày 15 tháng 01 năm 2025 của Chính phủ quy định chi tiết một số điều của Luật Địa chất và khoáng sản về khai thác khoáng sản nhóm IV.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