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1.013313.000.00.00.H18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nơi thường xuyên đậu, đỗ; sử dụng phương tiện vào mục đích để 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cư trú</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chuẩn bị hồ sơ đăng ký cư trú và Tờ khai theo quy định của pháp luật.
- Bước 2: Cá nhân nộp hồ sơ đăng ký cư trú và Tờ khai đến cơ quan đăng ký cư trú. Cơ quan quan đăng ký cư trú có trách nhiệm chuyển Tờ khai đến Ủy ban nhân dân cấp xã.
- Bước 3: Cán bộ tiếp nhận hồ sơ kiểm tra tính pháp lý và nội dung hồ sơ:
+ Trường hợp hồ sơ đã đầy đủ, hợp lệ thì xác nhận và chuyển hồ sơ cho cơ quan đăng ký cư trú để xem xét, giải quyết đăng ký cư trú cho công dân;
+ Trường hợp hồ sơ không đủ điều kiện thì từ chối và trả lời bằng văn bản, nêu rõ lý do và chuyển văn bản và hồ sơ cho cơ quan đăng ký cư trú để xem xét, giải quyết đăng ký cư trú cho công dân.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kể từ ngày nhận được Tờ khai đề nghị xác nhận nơi thường xuyên đậu, đỗ; sử dụng phương tiện vào mục đích để ở.</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kể từ ngày nhận được Tờ khai đề nghị xác nhận nơi thường xuyên đậu, đỗ; sử dụng phương tiện vào mục đích để ở.</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kể từ ngày nhận được Tờ khai đề nghị xác nhận nơi thường xuyên đậu, đỗ; sử dụng phương tiện vào mục đích để ở.</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xác nhận nơi thường xuyên đậu, đỗ; sử dụng phương tiện vào mục đích để ở (Mẫu số 01 ban hành kèm theo Nghị định số 154/2024/NĐ-CP)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Công an cấp xã;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Xác nhận nơi thường xuyên đậu, đỗ; sử dụng phương tiện vào mục đích để ở</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68/2020/QH14</w:t>
            </w:r>
          </w:p>
        </w:tc>
        <w:tc>
          <w:p/>
          <w:p>
            <w:pPr>
              <w:spacing w:after="0" w:before="0" w:lineRule="auto" w:line="276"/>
              <w:jc w:val="left"/>
            </w:pPr>
            <w:r>
              <w:rPr>
                <w:rFonts w:ascii="Times New Roman" w:hAnsi="Times New Roman" w:cs="Times New Roman" w:eastAsia="Times New Roman"/>
                <w:b w:val="false"/>
                <w:sz w:val="26"/>
              </w:rPr>
              <w:t>Luật Cư trú 2020</w:t>
            </w:r>
          </w:p>
        </w:tc>
        <w:tc>
          <w:p/>
          <w:p>
            <w:pPr>
              <w:spacing w:after="0" w:before="0" w:lineRule="auto" w:line="276"/>
              <w:jc w:val="left"/>
            </w:pPr>
            <w:r>
              <w:rPr>
                <w:rFonts w:ascii="Times New Roman" w:hAnsi="Times New Roman" w:cs="Times New Roman" w:eastAsia="Times New Roman"/>
                <w:b w:val="false"/>
                <w:sz w:val="26"/>
              </w:rPr>
              <w:t>13-11-2020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154/2024/NĐ-CP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và biện pháp thi hành Luật Cư trú</w:t>
            </w:r>
          </w:p>
        </w:tc>
        <w:tc>
          <w:p/>
          <w:p>
            <w:pPr>
              <w:spacing w:after="0" w:before="0" w:lineRule="auto" w:line="276"/>
              <w:jc w:val="left"/>
            </w:pPr>
            <w:r>
              <w:rPr>
                <w:rFonts w:ascii="Times New Roman" w:hAnsi="Times New Roman" w:cs="Times New Roman" w:eastAsia="Times New Roman"/>
                <w:b w:val="false"/>
                <w:sz w:val="26"/>
              </w:rPr>
              <w:t>26-11-2024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2026-05-09T04:07:11Z</dcterms:created>
  <dc:creator>Apache POI</dc:creator>
</cp:coreProperties>
</file>