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1.013228.000.00.00.H18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164/QĐ-UBND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lại giấy phép xây dựng đối với công trình cấp III, cấp IV (công trình Không theo tuyến/Theo tuyến trong đô thị/Tín ngưỡng, tôn giáo/Tượng đài, tranh hoành tráng/Sửa chữa, cải tạo/Theo giai đoạn cho công trình không theo tuyến/Theo giai đoạn cho công trình theo tuyến trong đô thị/Dự án) và nhà ở riêng lẻ</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Hoạt động xây dựng</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Chủ đầu tư nộp 02 bộ hồ sơ đề nghị cấp lại giấy phép xây dựng cho Trung tâm Phục vụ hành chính công cấp xã hoặc Trung tâm Phục vụ hành chính công tỉnh theo hình thức "phi địa giới".</w:t>
      </w:r>
    </w:p>
    <w:p>
      <w:pPr>
        <w:spacing w:after="0" w:before="0" w:lineRule="auto" w:line="276"/>
        <w:jc w:val="both"/>
      </w:pPr>
      <w:r>
        <w:rPr>
          <w:rFonts w:ascii="Times New Roman" w:hAnsi="Times New Roman" w:cs="Times New Roman" w:eastAsia="Times New Roman"/>
          <w:b w:val="false"/>
          <w:sz w:val="26"/>
        </w:rPr>
        <w:t>- Trong thời hạn 05 ngày kể từ ngày nhận đủ hồ sơ hợp lệ, UBND cấp xã có trách nhiệm xem xét cấp lại giấy phép xây dựng.</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05 Ngày làm việc</w:t>
            </w:r>
          </w:p>
        </w:tc>
        <w:tc>
          <w:p/>
          <w:p>
            <w:pPr>
              <w:spacing w:after="0" w:before="0" w:lineRule="auto" w:line="276"/>
              <w:jc w:val="left"/>
            </w:pPr>
            <w:r>
              <w:rPr>
                <w:rFonts w:ascii="Times New Roman" w:hAnsi="Times New Roman" w:cs="Times New Roman" w:eastAsia="Times New Roman"/>
                <w:b w:val="false"/>
                <w:sz w:val="26"/>
              </w:rPr>
              <w:t xml:space="preserve">Lệ phí : 50.000 đồng/GPXD đối với nhà ở riêng lẻ </w:t>
            </w:r>
          </w:p>
          <w:p>
            <w:pPr>
              <w:spacing w:after="0" w:before="0" w:lineRule="auto" w:line="276"/>
              <w:jc w:val="left"/>
            </w:pPr>
            <w:r>
              <w:rPr>
                <w:rFonts w:ascii="Times New Roman" w:hAnsi="Times New Roman" w:cs="Times New Roman" w:eastAsia="Times New Roman"/>
                <w:b w:val="false"/>
                <w:sz w:val="26"/>
              </w:rPr>
              <w:t xml:space="preserve">Lệ phí : 100.000 đồng/GPXD đối với công trình </w:t>
            </w:r>
          </w:p>
        </w:tc>
        <w:tc>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05 Ngày làm việc</w:t>
            </w:r>
          </w:p>
        </w:tc>
        <w:tc>
          <w:p/>
          <w:p>
            <w:pPr>
              <w:spacing w:after="0" w:before="0" w:lineRule="auto" w:line="276"/>
              <w:jc w:val="left"/>
            </w:pPr>
            <w:r>
              <w:rPr>
                <w:rFonts w:ascii="Times New Roman" w:hAnsi="Times New Roman" w:cs="Times New Roman" w:eastAsia="Times New Roman"/>
                <w:b w:val="false"/>
                <w:sz w:val="26"/>
              </w:rPr>
              <w:t xml:space="preserve">Lệ phí : 0 đồng </w:t>
              <w:t xml:space="preserve"> (Đối với nhà ở riêng lẻ: 50.000 đồng/01 giấy phép. Đối với công trình khác: 100.000 đồng/01 giấy phép)</w:t>
            </w:r>
          </w:p>
        </w:tc>
        <w:tc>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05 Ngày làm việc</w:t>
            </w:r>
          </w:p>
        </w:tc>
        <w:tc>
          <w:p/>
          <w:p>
            <w:pPr>
              <w:spacing w:after="0" w:before="0" w:lineRule="auto" w:line="276"/>
              <w:jc w:val="left"/>
            </w:pPr>
            <w:r>
              <w:rPr>
                <w:rFonts w:ascii="Times New Roman" w:hAnsi="Times New Roman" w:cs="Times New Roman" w:eastAsia="Times New Roman"/>
                <w:b w:val="false"/>
                <w:sz w:val="26"/>
              </w:rPr>
              <w:t xml:space="preserve">Lệ phí : 100.000 đồng/GPXD đối với công trình </w:t>
            </w:r>
          </w:p>
          <w:p>
            <w:pPr>
              <w:spacing w:after="0" w:before="0" w:lineRule="auto" w:line="276"/>
              <w:jc w:val="left"/>
            </w:pPr>
            <w:r>
              <w:rPr>
                <w:rFonts w:ascii="Times New Roman" w:hAnsi="Times New Roman" w:cs="Times New Roman" w:eastAsia="Times New Roman"/>
                <w:b w:val="false"/>
                <w:sz w:val="26"/>
              </w:rPr>
              <w:t xml:space="preserve">Lệ phí : 50.000 đồng/GPXD đối với nhà ở riêng lẻ </w:t>
            </w:r>
          </w:p>
        </w:tc>
        <w:tc>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đề nghị điều chỉnh, gia hạn, cấp lại giấy phép xây dựng, trong đó giải trình rõ lý do đề nghị cấp lại theo Mẫu số 02 Phụ lục II Nghị định số 175/2024/NĐ-CP</w:t>
            </w:r>
          </w:p>
        </w:tc>
        <w:tc>
          <w:p/>
          <w:p>
            <w:pPr>
              <w:spacing w:after="0" w:before="0" w:lineRule="auto" w:line="276"/>
              <w:jc w:val="left"/>
            </w:pPr>
            <w:r>
              <w:rPr>
                <w:rFonts w:ascii="Times New Roman" w:hAnsi="Times New Roman" w:cs="Times New Roman" w:eastAsia="Times New Roman"/>
                <w:b w:val="false"/>
                <w:sz w:val="26"/>
              </w:rPr>
              <w:t>3.M02.PLII.CL.docx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Bản chính giấy phép xây dựng đã được cấp theo quy định (đối với trường hợp bị rách, nát)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Cán bộ, công chức, viên chức, Doanh nghiệp, Tổ chức (không bao gồm doanh nghiệp, HTX),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cấp xã hoặc Trung tâm Phục vụ hành chính công tỉnh theo hình thức "phi địa giới"</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 Giấy phép xây dựng được cấp lại.</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20/2020/QĐ-UBND</w:t>
            </w:r>
          </w:p>
        </w:tc>
        <w:tc>
          <w:p/>
          <w:p>
            <w:pPr>
              <w:spacing w:after="0" w:before="0" w:lineRule="auto" w:line="276"/>
              <w:jc w:val="left"/>
            </w:pPr>
            <w:r>
              <w:rPr>
                <w:rFonts w:ascii="Times New Roman" w:hAnsi="Times New Roman" w:cs="Times New Roman" w:eastAsia="Times New Roman"/>
                <w:b w:val="false"/>
                <w:sz w:val="26"/>
              </w:rPr>
              <w:t>Quyết định số 20/2020/QĐ-UBND ngày 30 tháng 9 năm 2020 của Ủy ban nhân dân tỉnh Điện Biên về Quy định mức thu, miễn, giảm, thu, nộp, quản lý và sử dụng các loại phí, lệ phí trên địa bàn tỉnh Điện Biên</w:t>
            </w:r>
          </w:p>
        </w:tc>
        <w:tc>
          <w:p/>
          <w:p>
            <w:pPr>
              <w:spacing w:after="0" w:before="0" w:lineRule="auto" w:line="276"/>
              <w:jc w:val="left"/>
            </w:pPr>
            <w:r>
              <w:rPr>
                <w:rFonts w:ascii="Times New Roman" w:hAnsi="Times New Roman" w:cs="Times New Roman" w:eastAsia="Times New Roman"/>
                <w:b w:val="false"/>
                <w:sz w:val="26"/>
              </w:rPr>
              <w:t>30-09-2020</w:t>
            </w:r>
          </w:p>
        </w:tc>
        <w:tc>
          <w:p/>
          <w:p>
            <w:pPr>
              <w:spacing w:after="0" w:before="0" w:lineRule="auto" w:line="276"/>
              <w:jc w:val="left"/>
            </w:pPr>
            <w:r>
              <w:rPr>
                <w:rFonts w:ascii="Times New Roman" w:hAnsi="Times New Roman" w:cs="Times New Roman" w:eastAsia="Times New Roman"/>
                <w:b w:val="false"/>
                <w:sz w:val="26"/>
              </w:rPr>
              <w:t>UBND tỉnh Điện Biên</w:t>
            </w:r>
          </w:p>
        </w:tc>
      </w:tr>
      <w:tr>
        <w:tc>
          <w:p/>
          <w:p>
            <w:pPr>
              <w:spacing w:after="0" w:before="0" w:lineRule="auto" w:line="276"/>
              <w:jc w:val="left"/>
            </w:pPr>
            <w:r>
              <w:rPr>
                <w:rFonts w:ascii="Times New Roman" w:hAnsi="Times New Roman" w:cs="Times New Roman" w:eastAsia="Times New Roman"/>
                <w:b w:val="false"/>
                <w:sz w:val="26"/>
              </w:rPr>
              <w:t>50/2014/QH13</w:t>
            </w:r>
          </w:p>
        </w:tc>
        <w:tc>
          <w:p/>
          <w:p>
            <w:pPr>
              <w:spacing w:after="0" w:before="0" w:lineRule="auto" w:line="276"/>
              <w:jc w:val="left"/>
            </w:pPr>
            <w:r>
              <w:rPr>
                <w:rFonts w:ascii="Times New Roman" w:hAnsi="Times New Roman" w:cs="Times New Roman" w:eastAsia="Times New Roman"/>
                <w:b w:val="false"/>
                <w:sz w:val="26"/>
              </w:rPr>
              <w:t>Luật Xây dựng năm 2014</w:t>
            </w:r>
          </w:p>
        </w:tc>
        <w:tc>
          <w:p/>
          <w:p>
            <w:pPr>
              <w:spacing w:after="0" w:before="0" w:lineRule="auto" w:line="276"/>
              <w:jc w:val="left"/>
            </w:pPr>
            <w:r>
              <w:rPr>
                <w:rFonts w:ascii="Times New Roman" w:hAnsi="Times New Roman" w:cs="Times New Roman" w:eastAsia="Times New Roman"/>
                <w:b w:val="false"/>
                <w:sz w:val="26"/>
              </w:rPr>
              <w:t>18-06-2014</w:t>
            </w:r>
          </w:p>
        </w:tc>
        <w:tc>
          <w:p/>
        </w:tc>
      </w:tr>
      <w:tr>
        <w:tc>
          <w:p/>
          <w:p>
            <w:pPr>
              <w:spacing w:after="0" w:before="0" w:lineRule="auto" w:line="276"/>
              <w:jc w:val="left"/>
            </w:pPr>
            <w:r>
              <w:rPr>
                <w:rFonts w:ascii="Times New Roman" w:hAnsi="Times New Roman" w:cs="Times New Roman" w:eastAsia="Times New Roman"/>
                <w:b w:val="false"/>
                <w:sz w:val="26"/>
              </w:rPr>
              <w:t>62/2020/QH14</w:t>
            </w:r>
          </w:p>
        </w:tc>
        <w:tc>
          <w:p/>
          <w:p>
            <w:pPr>
              <w:spacing w:after="0" w:before="0" w:lineRule="auto" w:line="276"/>
              <w:jc w:val="left"/>
            </w:pPr>
            <w:r>
              <w:rPr>
                <w:rFonts w:ascii="Times New Roman" w:hAnsi="Times New Roman" w:cs="Times New Roman" w:eastAsia="Times New Roman"/>
                <w:b w:val="false"/>
                <w:sz w:val="26"/>
              </w:rPr>
              <w:t>Luật sửa đổi, bổ sung một số điều của Luật Xây dựng năm 2020</w:t>
            </w:r>
          </w:p>
        </w:tc>
        <w:tc>
          <w:p/>
          <w:p>
            <w:pPr>
              <w:spacing w:after="0" w:before="0" w:lineRule="auto" w:line="276"/>
              <w:jc w:val="left"/>
            </w:pPr>
            <w:r>
              <w:rPr>
                <w:rFonts w:ascii="Times New Roman" w:hAnsi="Times New Roman" w:cs="Times New Roman" w:eastAsia="Times New Roman"/>
                <w:b w:val="false"/>
                <w:sz w:val="26"/>
              </w:rPr>
              <w:t>17-06-2020</w:t>
            </w:r>
          </w:p>
        </w:tc>
        <w:tc>
          <w:p/>
        </w:tc>
      </w:tr>
      <w:tr>
        <w:tc>
          <w:p/>
          <w:p>
            <w:pPr>
              <w:spacing w:after="0" w:before="0" w:lineRule="auto" w:line="276"/>
              <w:jc w:val="left"/>
            </w:pPr>
            <w:r>
              <w:rPr>
                <w:rFonts w:ascii="Times New Roman" w:hAnsi="Times New Roman" w:cs="Times New Roman" w:eastAsia="Times New Roman"/>
                <w:b w:val="false"/>
                <w:sz w:val="26"/>
              </w:rPr>
              <w:t>35/2024/QĐ-UBND</w:t>
            </w:r>
          </w:p>
        </w:tc>
        <w:tc>
          <w:p/>
          <w:p>
            <w:pPr>
              <w:spacing w:after="0" w:before="0" w:lineRule="auto" w:line="276"/>
              <w:jc w:val="left"/>
            </w:pPr>
            <w:r>
              <w:rPr>
                <w:rFonts w:ascii="Times New Roman" w:hAnsi="Times New Roman" w:cs="Times New Roman" w:eastAsia="Times New Roman"/>
                <w:b w:val="false"/>
                <w:sz w:val="26"/>
              </w:rPr>
              <w:t>Sửa đổi, bổ sung một số điều của Quy định cấp giấy phép xây dựng công trình trên địa bàn tỉnh Điện Biên ban hành kèm theo Quyết định số 23/2021/QĐ-UBND ngày 05/11/2021 của Ủy ban nhân dân tỉnh Điện Biên.</w:t>
            </w:r>
          </w:p>
        </w:tc>
        <w:tc>
          <w:p/>
          <w:p>
            <w:pPr>
              <w:spacing w:after="0" w:before="0" w:lineRule="auto" w:line="276"/>
              <w:jc w:val="left"/>
            </w:pPr>
            <w:r>
              <w:rPr>
                <w:rFonts w:ascii="Times New Roman" w:hAnsi="Times New Roman" w:cs="Times New Roman" w:eastAsia="Times New Roman"/>
                <w:b w:val="false"/>
                <w:sz w:val="26"/>
              </w:rPr>
              <w:t>11-10-2024</w:t>
            </w:r>
          </w:p>
        </w:tc>
        <w:tc>
          <w:p/>
          <w:p>
            <w:pPr>
              <w:spacing w:after="0" w:before="0" w:lineRule="auto" w:line="276"/>
              <w:jc w:val="left"/>
            </w:pPr>
            <w:r>
              <w:rPr>
                <w:rFonts w:ascii="Times New Roman" w:hAnsi="Times New Roman" w:cs="Times New Roman" w:eastAsia="Times New Roman"/>
                <w:b w:val="false"/>
                <w:sz w:val="26"/>
              </w:rPr>
              <w:t>UBND tỉnh Điện Biên</w:t>
            </w:r>
          </w:p>
        </w:tc>
      </w:tr>
      <w:tr>
        <w:tc>
          <w:p/>
          <w:p>
            <w:pPr>
              <w:spacing w:after="0" w:before="0" w:lineRule="auto" w:line="276"/>
              <w:jc w:val="left"/>
            </w:pPr>
            <w:r>
              <w:rPr>
                <w:rFonts w:ascii="Times New Roman" w:hAnsi="Times New Roman" w:cs="Times New Roman" w:eastAsia="Times New Roman"/>
                <w:b w:val="false"/>
                <w:sz w:val="26"/>
              </w:rPr>
              <w:t>175/2024/NĐ-CP</w:t>
            </w:r>
          </w:p>
        </w:tc>
        <w:tc>
          <w:p/>
          <w:p>
            <w:pPr>
              <w:spacing w:after="0" w:before="0" w:lineRule="auto" w:line="276"/>
              <w:jc w:val="left"/>
            </w:pPr>
            <w:r>
              <w:rPr>
                <w:rFonts w:ascii="Times New Roman" w:hAnsi="Times New Roman" w:cs="Times New Roman" w:eastAsia="Times New Roman"/>
                <w:b w:val="false"/>
                <w:sz w:val="26"/>
              </w:rPr>
              <w:t>Nghị định số 175/2024/NĐ-CP của Chính phủ quy định chi tiết một số điều và biện pháp thi hành Luật Xây dựng về quản lý hoạt động xây dựng</w:t>
            </w:r>
          </w:p>
        </w:tc>
        <w:tc>
          <w:p/>
          <w:p>
            <w:pPr>
              <w:spacing w:after="0" w:before="0" w:lineRule="auto" w:line="276"/>
              <w:jc w:val="left"/>
            </w:pPr>
            <w:r>
              <w:rPr>
                <w:rFonts w:ascii="Times New Roman" w:hAnsi="Times New Roman" w:cs="Times New Roman" w:eastAsia="Times New Roman"/>
                <w:b w:val="false"/>
                <w:sz w:val="26"/>
              </w:rPr>
              <w:t>30-12-2024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140/2025/NĐ-CP</w:t>
            </w:r>
          </w:p>
        </w:tc>
        <w:tc>
          <w:p/>
          <w:p>
            <w:pPr>
              <w:spacing w:after="0" w:before="0" w:lineRule="auto" w:line="276"/>
              <w:jc w:val="left"/>
            </w:pPr>
            <w:r>
              <w:rPr>
                <w:rFonts w:ascii="Times New Roman" w:hAnsi="Times New Roman" w:cs="Times New Roman" w:eastAsia="Times New Roman"/>
                <w:b w:val="false"/>
                <w:sz w:val="26"/>
              </w:rPr>
              <w:t>quy định về phân định thẩm quyền của chính quyền địa phương 02 cấp trong lĩnh vực quản lý nhà nước của Bộ Xây dựng</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144/2025/NĐ-CP</w:t>
            </w:r>
          </w:p>
        </w:tc>
        <w:tc>
          <w:p/>
          <w:p>
            <w:pPr>
              <w:spacing w:after="0" w:before="0" w:lineRule="auto" w:line="276"/>
              <w:jc w:val="left"/>
            </w:pPr>
            <w:r>
              <w:rPr>
                <w:rFonts w:ascii="Times New Roman" w:hAnsi="Times New Roman" w:cs="Times New Roman" w:eastAsia="Times New Roman"/>
                <w:b w:val="false"/>
                <w:sz w:val="26"/>
              </w:rPr>
              <w:t>quy định về phân quyền, phân cấp trong lĩnh vực quản lý nhà nước của Bộ Xây dựng</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105/2025/NĐ-CP</w:t>
            </w:r>
          </w:p>
        </w:tc>
        <w:tc>
          <w:p/>
          <w:p>
            <w:pPr>
              <w:spacing w:after="0" w:before="0" w:lineRule="auto" w:line="276"/>
              <w:jc w:val="left"/>
            </w:pPr>
            <w:r>
              <w:rPr>
                <w:rFonts w:ascii="Times New Roman" w:hAnsi="Times New Roman" w:cs="Times New Roman" w:eastAsia="Times New Roman"/>
                <w:b w:val="false"/>
                <w:sz w:val="26"/>
              </w:rPr>
              <w:t>quy định chi tiết một số điều và biện pháp thi hành luật phòng cháy, chữa cháy và cứu nạn, cứu hộ</w:t>
            </w:r>
          </w:p>
        </w:tc>
        <w:tc>
          <w:p/>
          <w:p>
            <w:pPr>
              <w:spacing w:after="0" w:before="0" w:lineRule="auto" w:line="276"/>
              <w:jc w:val="left"/>
            </w:pPr>
            <w:r>
              <w:rPr>
                <w:rFonts w:ascii="Times New Roman" w:hAnsi="Times New Roman" w:cs="Times New Roman" w:eastAsia="Times New Roman"/>
                <w:b w:val="false"/>
                <w:sz w:val="26"/>
              </w:rPr>
              <w:t>15-05-2025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04/2025/NQ-HĐND</w:t>
            </w:r>
          </w:p>
        </w:tc>
        <w:tc>
          <w:p/>
          <w:p>
            <w:pPr>
              <w:spacing w:after="0" w:before="0" w:lineRule="auto" w:line="276"/>
              <w:jc w:val="left"/>
            </w:pPr>
            <w:r>
              <w:rPr>
                <w:rFonts w:ascii="Times New Roman" w:hAnsi="Times New Roman" w:cs="Times New Roman" w:eastAsia="Times New Roman"/>
                <w:b w:val="false"/>
                <w:sz w:val="26"/>
              </w:rPr>
              <w:t>Quy định mức thu phí, lệ phí trong thực hiện thủ tục hành chính trực tuyến trên địa bàn tỉnh Điện Biên</w:t>
            </w:r>
          </w:p>
        </w:tc>
        <w:tc>
          <w:p/>
          <w:p>
            <w:pPr>
              <w:spacing w:after="0" w:before="0" w:lineRule="auto" w:line="276"/>
              <w:jc w:val="left"/>
            </w:pPr>
            <w:r>
              <w:rPr>
                <w:rFonts w:ascii="Times New Roman" w:hAnsi="Times New Roman" w:cs="Times New Roman" w:eastAsia="Times New Roman"/>
                <w:b w:val="false"/>
                <w:sz w:val="26"/>
              </w:rPr>
              <w:t>15-07-2025</w:t>
            </w:r>
          </w:p>
        </w:tc>
        <w:tc>
          <w:p/>
          <w:p>
            <w:pPr>
              <w:spacing w:after="0" w:before="0" w:lineRule="auto" w:line="276"/>
              <w:jc w:val="left"/>
            </w:pPr>
            <w:r>
              <w:rPr>
                <w:rFonts w:ascii="Times New Roman" w:hAnsi="Times New Roman" w:cs="Times New Roman" w:eastAsia="Times New Roman"/>
                <w:b w:val="false"/>
                <w:sz w:val="26"/>
              </w:rPr>
              <w:t>Hội đồng nhân dân tỉnh</w:t>
            </w:r>
          </w:p>
        </w:tc>
      </w:tr>
      <w:tr>
        <w:tc>
          <w:p/>
          <w:p>
            <w:pPr>
              <w:spacing w:after="0" w:before="0" w:lineRule="auto" w:line="276"/>
              <w:jc w:val="left"/>
            </w:pPr>
            <w:r>
              <w:rPr>
                <w:rFonts w:ascii="Times New Roman" w:hAnsi="Times New Roman" w:cs="Times New Roman" w:eastAsia="Times New Roman"/>
                <w:b w:val="false"/>
                <w:sz w:val="26"/>
              </w:rPr>
              <w:t>14/2026/NĐ-CP</w:t>
            </w:r>
          </w:p>
        </w:tc>
        <w:tc>
          <w:p/>
          <w:p>
            <w:pPr>
              <w:spacing w:after="0" w:before="0" w:lineRule="auto" w:line="276"/>
              <w:jc w:val="left"/>
            </w:pPr>
            <w:r>
              <w:rPr>
                <w:rFonts w:ascii="Times New Roman" w:hAnsi="Times New Roman" w:cs="Times New Roman" w:eastAsia="Times New Roman"/>
                <w:b w:val="false"/>
                <w:sz w:val="26"/>
              </w:rPr>
              <w:t>sửa đổi, bổ sung một số điều của các Nghị định để cắt giảm, đơn giản hóa thủ tục hành chính liên quan đến hoạt động sản xuất, kinh doanh thuộc phạm vi quản lý của Bộ Xây dựng</w:t>
            </w:r>
          </w:p>
        </w:tc>
        <w:tc>
          <w:p/>
          <w:p>
            <w:pPr>
              <w:spacing w:after="0" w:before="0" w:lineRule="auto" w:line="276"/>
              <w:jc w:val="left"/>
            </w:pPr>
            <w:r>
              <w:rPr>
                <w:rFonts w:ascii="Times New Roman" w:hAnsi="Times New Roman" w:cs="Times New Roman" w:eastAsia="Times New Roman"/>
                <w:b w:val="false"/>
                <w:sz w:val="26"/>
              </w:rPr>
              <w:t>13-01-2026</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Phù hợp với quy hoạch chi tiết xây dựng đã được cơ quan nhà nước có thẩm quyền phê duyệt. Đối với công trình xây dựng ở khu vực, tuyến phố trong đô thị đã ổn định nhưng chưa có quy hoạch chi tiết xây dựng thì phải phù hợp với quy chế quản lý quy hoạch, kiến trúc đô thị hoặc thiết kế đô thị được cơ quan nhà nước có thẩm quyền ban hành. (Đối với công trình không theo tuyến ngoài đô thị thì phù hợp với vị trí và tổng mặt bằng của dự án đã được cơ quan nhà nước có thẩm quyền chấp thuận bằng văn bản).
- Phù hợp với mục đích sử dụng đất theo quy định của pháp luật về đất đai.
- Bảo đảm an toàn cho công trình, công trình lân cận và yêu cầu về bảo vệ môi trường, phòng, chống cháy, nổ; bảo đảm an toàn hạ tầng kỹ thuật, hành lang bảo vệ công trình thuỷ lợi, đê điều, năng lượng, giao thông, khu di sản văn hoá, di tích lịch sử - văn hóa; bảo đảm khoảng cách an toàn đến công trình dễ cháy, nổ, độc hại và công trình quan trọng có liên quan đến quốc phòng, an ninh.
- Thiết kế xây dựng công trình đã được thẩm định, phê duyệt theo quy định.
- Các loại quy hoạch sử dụng làm căn cứ để lập dự án đầu tư xây dựng theo quy định tại khoản 2 Điều 13 Nghị định số 175/2024/NĐ-CP là cơ sở xem xét cấp giấy phép xây dựng.
- Có văn bản đã được cơ quan nhà nước có thẩm quyền chấp thuận về vị trí và tổng mặt bằng của dự án theo quy định tại khoản 1 Điều 92 Luật Xây dựng năm 2014 là một trong các loại giấy tờ sau:
+ Quyết định phê duyệt quy hoạch chi tiết rút gọn và bản vẽ tổng mặt bằng, phương án kiến trúc công trình trong hồ sơ đồ án quy hoạch chi tiết rút gọn đã được phê duyệt;
+ Quyết định phê duyệt quy hoạch chi tiết xây dựng khu chức năng và Bản đồ quy hoạch tổng mặt bằng sử dụng đất và các bản đồ, bản vẽ kèm theo trong hồ sơ đồ án quy hoạch chi tiết xây dựng khu chức năng đã được phê duyệt;
+ Quyết định phê duyệt quy hoạch chi tiết xây dựng điểm dân cư nông thôn và các bản đồ, bản vẽ kèm theo trong hồ sơ đồ án quy hoạch chi tiết xây dựng điểm dân cư nông thôn đã được phê duyệt;
+ Văn bản chấp thuận về vị trí, hướng tuyến và tổng mặt bằng của dự án theo quy định của pháp luật có liên quan. Việc chấp thuận về vị trí, hướng tuyến và tổng mặt bằng của dự án thực hiện theo quy định tại khoản 5 Điều 121 Nghị định 175/2024/NĐ-CP.
  - Đối với khu vực đã có quy hoạch xây dựng và theo quy định, dự án đầu tư xây dựng phải phù hợp với quy hoạch có tính chất kỹ thuật, chuyên ngành khác thì quy hoạch xây dựng và quy hoạch có tính chất kỹ thuật, chuyên ngành này là cơ sở để xem xét cấp giấy phép xây dựng.
- Đối với khu vực chưa có quy hoạch xây dựng thì quy hoạch có tính chất kỹ thuật, chuyên ngành khác có liên quan hoặc thiết kế đô thị hoặc quy chế quản lý kiến trúc hoặc văn bản của cơ quan nhà nước có thẩm quyền chấp thuận về vị trí và tổng mặt bằng (đối với công trình không theo tuyến ngoài đô thị) là cơ sở để xem xét cấp giấy phép xây dựng.
- Đối với các công trình xây dựng ảnh hưởng lớn đến an toàn, lợi ích cộng đồng có yêu cầu thẩm tra theo quy định tại khoản 6 Điều 82 của Luật Xây dựng năm 2014 được sửa đổi, bổ sung tại khoản 24 Điều 1 của Luật số 62/2020/QH14, báo cáo kết quả thẩm tra ngoài các yêu cầu riêng của chủ đầu tư, phải có kết luận đáp ứng yêu cầu an toàn công trình, sự tuân thủ tiêu chuẩn, quy chuẩn kỹ thuật của hồ sơ thiết kế xây dựng.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2026-05-31T01:04:43Z</dcterms:created>
  <dc:creator>Apache POI</dc:creator>
</cp:coreProperties>
</file>