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xây dựng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điều chỉnh giấy phép xây dựng cho 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false"/>
          <w:sz w:val="26"/>
        </w:rPr>
        <w:t>Trong thời hạn 07 ngày làm việc kể từ ngày tiếp nhận hồ sơ, UBND cấp xã phải tổ chức thẩm định hồ sơ, kiểm tra thực địa, thông báo 1 lần bằng văn bản cho chủ đầu tư bổ sung, hoàn thiện hồ sơ nếu tài liệu còn thiếu, tài liệu không đúng quy định hoặc không đúng thực tế. UBND cấp xã có trách nhiệm kiểm tra các điều kiện cấp giấy phép xây dựng theo quy định tại tại Điều 50 Nghị định số 175/2024/NĐ-CP ngày 30/12/2024 của Chính phủ. Việc kiểm tra được thực hiện như sau:</w:t>
      </w:r>
    </w:p>
    <w:p>
      <w:pPr>
        <w:spacing w:after="0" w:before="0" w:lineRule="auto" w:line="276"/>
        <w:jc w:val="both"/>
      </w:pPr>
      <w:r>
        <w:rPr>
          <w:rFonts w:ascii="Times New Roman" w:hAnsi="Times New Roman" w:cs="Times New Roman" w:eastAsia="Times New Roman"/>
          <w:b w:val="false"/>
          <w:sz w:val="26"/>
        </w:rPr>
        <w:t>+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bổ sung hồ sơ nhưng chưa đáp ứng được yêu cầu theo văn bản thông báo, UBND cấp xã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UBND cấp xã có trách nhiệm thông báo đến chủ đầu tư về lý do không cấp điều chỉnh giấy phép xây dựng.</w:t>
      </w:r>
    </w:p>
    <w:p>
      <w:pPr>
        <w:spacing w:after="0" w:before="0" w:lineRule="auto" w:line="276"/>
        <w:jc w:val="both"/>
      </w:pPr>
      <w:r>
        <w:rPr>
          <w:rFonts w:ascii="Times New Roman" w:hAnsi="Times New Roman" w:cs="Times New Roman" w:eastAsia="Times New Roman"/>
          <w:b w:val="false"/>
          <w:sz w:val="26"/>
        </w:rPr>
        <w:t>UBND cấp xã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UBND cấp xã căn cứ các quy định hiện hành để quyết định việc cấp điều chỉnh giấy phép xây dựng</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UBND cấp xã có trách nhiệm xem xét cấp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(Đối với nhà ở riêng lẻ: 50.000 đồng/1 giấy phép; Đối với công trình khác: 100.000 đồng/1 giấy phép)</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gia hạn, cấp lại giấy phép xây dựng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1.M02.PLII.docx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kèm theo bản vẽ đã được cấp kèm theo giấy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bộ bản vẽ thiết kế xây dựng trong hồ sơ thiết kế xây dựng điều chỉnh triển khai sau thiết kế cơ sở được phê duyệt theo quy định của pháp luật về xây dựng tương ứng theo quy định tại Điều 55, Điều 56, Điều 57, Điều 58, Điều 59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thẩm định và văn bản phê duyệt thiết kế xây dựng điều chỉnh (trừ nhà ở riêng lẻ) của chủ đầu tư, trong đó phải có nội dung về bảo đảm an toàn chịu lực, an toàn phòng, chống cháy, nổ, bảo vệ môi trường; kèm theo các hồ sơ theo quy định tại điểm c khoản 1 Điều 55 Nghị định số 175/2024/NĐ-CP tương ứng với phần điều chỉnh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việc điều chỉnh thiết kế có thay đổi về diện tích sử dụng đất hoặc chức năng sử dụng đất của công trình đề nghị cấp giấy phép xây dựng thì phải có một trong các loại giấy tờ hợp pháp về đất đai để cấp giấy phép xây dựng theo quy định tại Điều 53 Nghị định số 175/2024/NĐ-CP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
- Trong quá trình xây dựng, trường hợp có điều chỉnh thiết kế làm thay đổi một trong các nội dung dưới đây:
+  Thay đổi hình thức kiến trúc mặt ngoài của công trình đối với công trình trong đô thị thuộc khu vực có yêu cầu về quản lý kiến trúc;
+ Thay đổi một trong các yếu tố về vị trí, diện tích xây dựng; quy mô, chiều cao, số tầng của công trình và các yếu tố khác ảnh hưởng đến kết cấu chịu lực chính;
+ Khi điều chỉnh thiết kế bên trong công trình làm thay đổi công năng sử dụng làm ảnh hưởng đến an toàn, phòng, chống cháy, nổ,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2026-05-31T01:07:41Z</dcterms:created>
  <dc:creator>Apache POI</dc:creator>
</cp:coreProperties>
</file>