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1.013230.000.00.00.H18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di dời đối với công trình cấp đặc biệt, cấp I và cấp II (Công trình không theo tuyến/Theo tuyến trong đô thị/Tín ngưỡng, tôn giáo/Tượng đài, tranh hoành tráng/Theo giai đoạn cho công trình không theo tuyến/Theo giai đoạn cho công trình theo tuyến trong đô thị/Dự án)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xây dựng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Chủ đầu tư nộp hồ sơ đề nghị cấp giấy phép di dời công trình xây dựng cho Trung tâm phục vụ hành chính công tỉnh hoặc Trung tâm Phục vụ hành chính công các xã, phường theo hình thức "phi địa giới".</w:t>
      </w:r>
    </w:p>
    <w:p>
      <w:pPr>
        <w:spacing w:after="0" w:before="0" w:lineRule="auto" w:line="276"/>
        <w:jc w:val="both"/>
      </w:pPr>
      <w:r>
        <w:rPr>
          <w:rFonts w:ascii="Times New Roman" w:hAnsi="Times New Roman" w:cs="Times New Roman" w:eastAsia="Times New Roman"/>
          <w:b w:val="false"/>
          <w:sz w:val="26"/>
        </w:rPr>
        <w:t>Trong thời hạn 07 ngày làm việc kể từ ngày tiếp nhận hồ sơ, Sở Xây dựng tổ chức thẩm định hồ sơ, kiểm tra thực địa, thông báo 1 lần bằng văn bản cho chủ đầu tư bổ sung, hoàn thiện hồ sơ nếu tài liệu còn thiếu, tài liệu không đúng quy định hoặc không đúng thực tế. Sở Xây dựng có trách nhiệm kiểm tra các điều kiện cấp giấy phép xây dựng theo quy định tại tại Điều 50 Nghị định số 175/2024/NĐ-CP ngày 30/12/2024 của Chính phủ. Việc kiểm tra được thực hiện như sau</w:t>
      </w:r>
    </w:p>
    <w:p>
      <w:pPr>
        <w:spacing w:after="0" w:before="0" w:lineRule="auto" w:line="276"/>
        <w:jc w:val="both"/>
      </w:pPr>
      <w:r>
        <w:rPr>
          <w:rFonts w:ascii="Times New Roman" w:hAnsi="Times New Roman" w:cs="Times New Roman" w:eastAsia="Times New Roman"/>
          <w:b w:val="false"/>
          <w:sz w:val="26"/>
        </w:rPr>
        <w:t>+ Đối chiếu sự phù hợp của bản vẽ thiết kế xây dựng tại hồ sơ đề nghị cấp phép xây dựng với thiết kế cơ sở được Sở Xây dựng thẩm định và đóng dấu xác nhận đối với các công trình thuộc dự án có yêu cầu thẩm định báo cáo nghiên cứu khả thi.</w:t>
      </w:r>
    </w:p>
    <w:p>
      <w:pPr>
        <w:spacing w:after="0" w:before="0" w:lineRule="auto" w:line="276"/>
        <w:jc w:val="both"/>
      </w:pPr>
      <w:r>
        <w:rPr>
          <w:rFonts w:ascii="Times New Roman" w:hAnsi="Times New Roman" w:cs="Times New Roman" w:eastAsia="Times New Roman"/>
          <w:b w:val="false"/>
          <w:sz w:val="26"/>
        </w:rPr>
        <w:t>+ Kiểm tra sự phù hợp của bản vẽ thiết kế xây dựng tại hồ sơ đề nghị cấp phép xây dựng với bản vẽ thiết kế xây dựng được thẩm duyệt về phòng cháy chữa cháy của cơ quan có thẩm quyền đối với các công trình xây dựng thuộc đối tượng có yêu cầu thẩm duyệt về phòng cháy, chữa cháy</w:t>
      </w:r>
    </w:p>
    <w:p>
      <w:pPr>
        <w:spacing w:after="0" w:before="0" w:lineRule="auto" w:line="276"/>
        <w:jc w:val="both"/>
      </w:pPr>
      <w:r>
        <w:rPr>
          <w:rFonts w:ascii="Times New Roman" w:hAnsi="Times New Roman" w:cs="Times New Roman" w:eastAsia="Times New Roman"/>
          <w:b w:val="false"/>
          <w:sz w:val="26"/>
        </w:rPr>
        <w:t>+ Kiểm tra tính đầy đủ, hợp lệ của báo cáo kết quả thẩm tra đối với công trình có yêu cầu phải thẩm tra thiết kế theo quy định tại Nghị định số 175/2024/NĐ-CP.</w:t>
      </w:r>
    </w:p>
    <w:p>
      <w:pPr>
        <w:spacing w:after="0" w:before="0" w:lineRule="auto" w:line="276"/>
        <w:jc w:val="both"/>
      </w:pPr>
      <w:r>
        <w:rPr>
          <w:rFonts w:ascii="Times New Roman" w:hAnsi="Times New Roman" w:cs="Times New Roman" w:eastAsia="Times New Roman"/>
          <w:b w:val="false"/>
          <w:sz w:val="26"/>
        </w:rPr>
        <w:t>Trong thời hạn 05 ngày làm việc kể từ ngày nhận bổ sung hồ sơ nhưng chưa đáp ứng được yêu cầu theo văn bản thông báo, Sở Xây dựng có trách nhiệm thông báo bằng văn bản hướng dẫn cho chủ đầu tư tiếp tục hoàn thiện hồ sơ. Trường hợp việc bổ sung hồ sơ vẫn không đáp ứng được các nội dung theo thông báo thì trong thời hạn 03 ngày làm việc kể từ ngày nhận hồ sơ bổ sung, Sở Xây dựng có trách nhiệm thông báo đến chủ đầu tư về lý do không cấp giấy phép di dời công trình xây dựng.</w:t>
      </w:r>
    </w:p>
    <w:p>
      <w:pPr>
        <w:spacing w:after="0" w:before="0" w:lineRule="auto" w:line="276"/>
        <w:jc w:val="both"/>
      </w:pPr>
      <w:r>
        <w:rPr>
          <w:rFonts w:ascii="Times New Roman" w:hAnsi="Times New Roman" w:cs="Times New Roman" w:eastAsia="Times New Roman"/>
          <w:b w:val="false"/>
          <w:sz w:val="26"/>
        </w:rPr>
        <w:t>Sở Xây dựng đối chiếu các điều kiện theo quy định của Luật Xây dựng để gửi văn bản lấy ý kiến của cơ quan quản lý nhà nước liên quan. Trong thời gian 12 ngày kể từ ngày nhận được hồ sơ, các cơ quan quản lý nhà nước được hỏi ý kiến có trách nhiệm trả lời bằng văn bản về những nội dung thuộc chức năng quản lý của mình. Sau thời hạn trên, nếu các cơ quan này không có ý kiến thì được coi là đã đồng ý và phải chịu trách nhiệm về những nội dung thuộc chức năng quản lý của mình; Sở Xây dựng căn cứ các quy định hiện hành để quyết định việc cấp giấy phép di dời công trình xây dựng.</w:t>
      </w:r>
    </w:p>
    <w:p>
      <w:pPr>
        <w:spacing w:after="0" w:before="0" w:lineRule="auto" w:line="276"/>
        <w:jc w:val="both"/>
      </w:pPr>
      <w:r>
        <w:rPr>
          <w:rFonts w:ascii="Times New Roman" w:hAnsi="Times New Roman" w:cs="Times New Roman" w:eastAsia="Times New Roman"/>
          <w:b w:val="false"/>
          <w:sz w:val="26"/>
        </w:rPr>
        <w:t>Trong thời hạn 20 ngày kể từ ngày nhận đủ hồ sơ hợp lệ, Sở Xây dựng có trách nhiệm xem xét cấp giấy phép di dời công trình xây dựng.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 xml:space="preserve">Lệ phí : 100.000 đồng/01 giấy phép </w:t>
            </w:r>
          </w:p>
        </w:tc>
        <w:tc>
          <w:p/>
          <w:p>
            <w:pPr>
              <w:spacing w:after="0" w:before="0" w:lineRule="auto" w:line="276"/>
              <w:jc w:val="left"/>
            </w:pPr>
            <w:r>
              <w:rPr>
                <w:rFonts w:ascii="Times New Roman" w:hAnsi="Times New Roman" w:cs="Times New Roman" w:eastAsia="Times New Roman"/>
                <w:b w:val="false"/>
                <w:sz w:val="26"/>
              </w:rPr>
              <w:t>20 ngày kể từ ngày nhận đủ hồ sơ hợp lệ. Trường hợp cần phải xem xét thêm, cơ quan có thẩm quyền cấp giấy phép xây dựng phải thông báo bằng văn bản cho chủ đầu tư biết lý do nhưng không được quá 10 ngày kể từ ngày hết thời hạn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 xml:space="preserve">Lệ phí : 0 đồng/01 giấy phép </w:t>
              <w:t xml:space="preserve"> (Trường hợp thực hiện trực tuyến toàn trình: 0 đồng/ 1 giấy phép)</w:t>
            </w:r>
          </w:p>
        </w:tc>
        <w:tc>
          <w:p/>
          <w:p>
            <w:pPr>
              <w:spacing w:after="0" w:before="0" w:lineRule="auto" w:line="276"/>
              <w:jc w:val="left"/>
            </w:pPr>
            <w:r>
              <w:rPr>
                <w:rFonts w:ascii="Times New Roman" w:hAnsi="Times New Roman" w:cs="Times New Roman" w:eastAsia="Times New Roman"/>
                <w:b w:val="false"/>
                <w:sz w:val="26"/>
              </w:rPr>
              <w:t>20 ngày kể từ ngày nhận đủ hồ sơ hợp lệ. Trường hợp cần phải xem xét thêm, cơ quan có thẩm quyền cấp giấy phép xây dựng phải thông báo bằng văn bản cho chủ đầu tư biết lý do nhưng không được quá 10 ngày kể từ ngày hết thời hạn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 xml:space="preserve">Phí : 100.000 đồng/01 giấy phép </w:t>
            </w:r>
          </w:p>
        </w:tc>
        <w:tc>
          <w:p/>
          <w:p>
            <w:pPr>
              <w:spacing w:after="0" w:before="0" w:lineRule="auto" w:line="276"/>
              <w:jc w:val="left"/>
            </w:pPr>
            <w:r>
              <w:rPr>
                <w:rFonts w:ascii="Times New Roman" w:hAnsi="Times New Roman" w:cs="Times New Roman" w:eastAsia="Times New Roman"/>
                <w:b w:val="false"/>
                <w:sz w:val="26"/>
              </w:rPr>
              <w:t>20 ngày kể từ ngày nhận đủ hồ sơ hợp lệ. Trường hợp cần phải xem xét thêm, cơ quan có thẩm quyền cấp giấy phép xây dựng phải thông báo bằng văn bản cho chủ đầu tư biết lý do nhưng không được quá 10 ngày kể từ ngày hết thời hạn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giấy phép di dời công trình theo Mẫu số 1 Phụ lục số II Nghị định số 175/2024/NĐ-CP ngày 30/12/2024 của Chính phủ</w:t>
            </w:r>
          </w:p>
        </w:tc>
        <w:tc>
          <w:p/>
          <w:p>
            <w:pPr>
              <w:spacing w:after="0" w:before="0" w:lineRule="auto" w:line="276"/>
              <w:jc w:val="left"/>
            </w:pPr>
            <w:r>
              <w:rPr>
                <w:rFonts w:ascii="Times New Roman" w:hAnsi="Times New Roman" w:cs="Times New Roman" w:eastAsia="Times New Roman"/>
                <w:b w:val="false"/>
                <w:sz w:val="26"/>
              </w:rPr>
              <w:t>4.M01.PLII.DD.docx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Các tài liệu quy định tại Khoản 2, Khoản 3, Khoản 4 và Khoản 5 Điều 97 Luật Xây dựng năm 2014 bao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Bản sao giấy tờ chứng minh quyền sử dụng đất nơi công trình sẽ di dời đến và giấy tờ hợp pháp về sở hữu công trình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Bản vẽ hoàn công công trình (nếu có) hoặc bản vẽ thiết kế mô tả thực trạng công trình được di dời, gồm mặt bằng, mặt cắt móng và bản vẽ kết cấu chịu lực chính; bản vẽ tổng mặt bằng địa điểm công trình sẽ được di dời tới; bản vẽ mặt bằng, mặt cắt móng tại địa điểm công trình sẽ di dời đến.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Báo cáo kết quả khảo sát đánh giá chất lượng hiện trạng của công trình do tổ chức, cá nhân có đủ điều kiện năng lực thực hiện.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Phương án di dời do tổ chức, cá nhân có đủ điều kiện năng lực thực hiện gồm:  Phần thuyết minh về hiện trạng công trình và khu vực công trình sẽ được di dời đến; giải pháp di dời, phương án bố trí sử dụng phương tiện, thiết bị, nhân lực; giải pháp bảo đảm an toàn cho công trình, người, máy móc, thiết bị và công trình lân cận; bảo đảm vệ sinh môi trường; tiến độ di dời; tổ chức, cá nhân thực hiện di dời công trình; phần bản vẽ biện pháp thi công di dời công trình.</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được cấp theo quy định của Luật Đất đai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quyền sở hữu tài sản gắn liền với đất được cấp theo quy định của pháp luật về đất đai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sở hữu nhà ở và quyền sử dụng đất ở được cấp theo quy định của pháp luật về đất đai, pháp luật về nhà ở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 hoặc Trung tâm Phục vụ hành chính công các xã, phường theo hình thức "phi địa giới"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 Giấy phép xây dựng kèm theo hồ sơ thiết kế trình xin cấp giấy phép xây dựng có đóng dấu của cơ quan có thẩm quyền cấp giấy phép xây dựng..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50/2014/QH13</w:t>
            </w:r>
          </w:p>
        </w:tc>
        <w:tc>
          <w:p/>
          <w:p>
            <w:pPr>
              <w:spacing w:after="0" w:before="0" w:lineRule="auto" w:line="276"/>
              <w:jc w:val="left"/>
            </w:pPr>
            <w:r>
              <w:rPr>
                <w:rFonts w:ascii="Times New Roman" w:hAnsi="Times New Roman" w:cs="Times New Roman" w:eastAsia="Times New Roman"/>
                <w:b w:val="false"/>
                <w:sz w:val="26"/>
              </w:rPr>
              <w:t>Luật Xây dựng năm 2014</w:t>
            </w:r>
          </w:p>
        </w:tc>
        <w:tc>
          <w:p/>
          <w:p>
            <w:pPr>
              <w:spacing w:after="0" w:before="0" w:lineRule="auto" w:line="276"/>
              <w:jc w:val="left"/>
            </w:pPr>
            <w:r>
              <w:rPr>
                <w:rFonts w:ascii="Times New Roman" w:hAnsi="Times New Roman" w:cs="Times New Roman" w:eastAsia="Times New Roman"/>
                <w:b w:val="false"/>
                <w:sz w:val="26"/>
              </w:rPr>
              <w:t>18-06-2014</w:t>
            </w:r>
          </w:p>
        </w:tc>
        <w:tc>
          <w:p/>
        </w:tc>
      </w:tr>
      <w:tr>
        <w:tc>
          <w:p/>
          <w:p>
            <w:pPr>
              <w:spacing w:after="0" w:before="0" w:lineRule="auto" w:line="276"/>
              <w:jc w:val="left"/>
            </w:pPr>
            <w:r>
              <w:rPr>
                <w:rFonts w:ascii="Times New Roman" w:hAnsi="Times New Roman" w:cs="Times New Roman" w:eastAsia="Times New Roman"/>
                <w:b w:val="false"/>
                <w:sz w:val="26"/>
              </w:rPr>
              <w:t>62/2020/QH14</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Xây dựng năm 2020</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35/2024/QĐ-UBND</w:t>
            </w:r>
          </w:p>
        </w:tc>
        <w:tc>
          <w:p/>
          <w:p>
            <w:pPr>
              <w:spacing w:after="0" w:before="0" w:lineRule="auto" w:line="276"/>
              <w:jc w:val="left"/>
            </w:pPr>
            <w:r>
              <w:rPr>
                <w:rFonts w:ascii="Times New Roman" w:hAnsi="Times New Roman" w:cs="Times New Roman" w:eastAsia="Times New Roman"/>
                <w:b w:val="false"/>
                <w:sz w:val="26"/>
              </w:rPr>
              <w:t>Sửa đổi, bổ sung một số điều của Quy định cấp giấy phép xây dựng công trình trên địa bàn tỉnh Điện Biên ban hành kèm theo Quyết định số 23/2021/QĐ-UBND ngày 05/11/2021 của Ủy ban nhân dân tỉnh Điện Biên.</w:t>
            </w:r>
          </w:p>
        </w:tc>
        <w:tc>
          <w:p/>
          <w:p>
            <w:pPr>
              <w:spacing w:after="0" w:before="0" w:lineRule="auto" w:line="276"/>
              <w:jc w:val="left"/>
            </w:pPr>
            <w:r>
              <w:rPr>
                <w:rFonts w:ascii="Times New Roman" w:hAnsi="Times New Roman" w:cs="Times New Roman" w:eastAsia="Times New Roman"/>
                <w:b w:val="false"/>
                <w:sz w:val="26"/>
              </w:rPr>
              <w:t>11-10-2024</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175/2024/NĐ-CP</w:t>
            </w:r>
          </w:p>
        </w:tc>
        <w:tc>
          <w:p/>
          <w:p>
            <w:pPr>
              <w:spacing w:after="0" w:before="0" w:lineRule="auto" w:line="276"/>
              <w:jc w:val="left"/>
            </w:pPr>
            <w:r>
              <w:rPr>
                <w:rFonts w:ascii="Times New Roman" w:hAnsi="Times New Roman" w:cs="Times New Roman" w:eastAsia="Times New Roman"/>
                <w:b w:val="false"/>
                <w:sz w:val="26"/>
              </w:rPr>
              <w:t>Nghị định số 175/2024/NĐ-CP của Chính phủ quy định chi tiết một số điều và biện pháp thi hành Luật Xây dựng về quản lý hoạt động xây dựng</w:t>
            </w:r>
          </w:p>
        </w:tc>
        <w:tc>
          <w:p/>
          <w:p>
            <w:pPr>
              <w:spacing w:after="0" w:before="0" w:lineRule="auto" w:line="276"/>
              <w:jc w:val="left"/>
            </w:pPr>
            <w:r>
              <w:rPr>
                <w:rFonts w:ascii="Times New Roman" w:hAnsi="Times New Roman" w:cs="Times New Roman" w:eastAsia="Times New Roman"/>
                <w:b w:val="false"/>
                <w:sz w:val="26"/>
              </w:rPr>
              <w:t>30-12-2024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144/2025/NĐ-CP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105/2025/NĐ-CP</w:t>
            </w:r>
          </w:p>
        </w:tc>
        <w:tc>
          <w:p/>
          <w:p>
            <w:pPr>
              <w:spacing w:after="0" w:before="0" w:lineRule="auto" w:line="276"/>
              <w:jc w:val="left"/>
            </w:pPr>
            <w:r>
              <w:rPr>
                <w:rFonts w:ascii="Times New Roman" w:hAnsi="Times New Roman" w:cs="Times New Roman" w:eastAsia="Times New Roman"/>
                <w:b w:val="false"/>
                <w:sz w:val="26"/>
              </w:rPr>
              <w:t>quy định chi tiết một số điều và biện pháp thi hành luật phòng cháy, chữa cháy và cứu nạn, cứu hộ</w:t>
            </w:r>
          </w:p>
        </w:tc>
        <w:tc>
          <w:p/>
          <w:p>
            <w:pPr>
              <w:spacing w:after="0" w:before="0" w:lineRule="auto" w:line="276"/>
              <w:jc w:val="left"/>
            </w:pPr>
            <w:r>
              <w:rPr>
                <w:rFonts w:ascii="Times New Roman" w:hAnsi="Times New Roman" w:cs="Times New Roman" w:eastAsia="Times New Roman"/>
                <w:b w:val="false"/>
                <w:sz w:val="26"/>
              </w:rPr>
              <w:t>15-05-2025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04/2025/NQ-HĐND</w:t>
            </w:r>
          </w:p>
        </w:tc>
        <w:tc>
          <w:p/>
          <w:p>
            <w:pPr>
              <w:spacing w:after="0" w:before="0" w:lineRule="auto" w:line="276"/>
              <w:jc w:val="left"/>
            </w:pPr>
            <w:r>
              <w:rPr>
                <w:rFonts w:ascii="Times New Roman" w:hAnsi="Times New Roman" w:cs="Times New Roman" w:eastAsia="Times New Roman"/>
                <w:b w:val="false"/>
                <w:sz w:val="26"/>
              </w:rPr>
              <w:t>Quy định mức thu phí, lệ phí trong thực hiện thủ tục hành chính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15-07-2025</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14/2026/NĐ-CP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để cắt giảm, đơn giản hóa thủ tục hành chính liên quan đến hoạt động sản xuất, kinh doanh thuộc phạm vi quản lý của Bộ Xây dựng</w:t>
            </w:r>
          </w:p>
        </w:tc>
        <w:tc>
          <w:p/>
          <w:p>
            <w:pPr>
              <w:spacing w:after="0" w:before="0" w:lineRule="auto" w:line="276"/>
              <w:jc w:val="left"/>
            </w:pPr>
            <w:r>
              <w:rPr>
                <w:rFonts w:ascii="Times New Roman" w:hAnsi="Times New Roman" w:cs="Times New Roman" w:eastAsia="Times New Roman"/>
                <w:b w:val="false"/>
                <w:sz w:val="26"/>
              </w:rPr>
              <w:t>13-01-2026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Phù hợp với quy hoạch chi tiết xây dựng đã được cơ quan nhà nước có thẩm quyền phê duyệt. Đối với công trình xây dựng ở khu vực, tuyến phố trong đô thị đã ổn định nhưng chưa có quy hoạch chi tiết xây dựng thì phải phù hợp với quy chế quản lý quy hoạch, kiến trúc đô thị hoặc thiết kế đô thị được cơ quan nhà nước có thẩm quyền ban hành. (Đối với công trình không theo tuyến ngoài đô thị thì phù hợp với vị trí và tổng mặt bằng của dự án đã được cơ quan nhà nước có thẩm quyền chấp thuận bằng văn bản).
- Phù hợp với mục đích sử dụng đất theo quy định của pháp luật về đất đai.
- Bảo đảm an toàn cho công trình, công trình lân cận và yêu cầu về bảo vệ môi trường, phòng, chống cháy, nổ; bảo đảm an toàn hạ tầng kỹ thuật, hành lang bảo vệ công trình thuỷ lợi, đê điều, năng lượng, giao thông, khu di sản văn hoá, di tích lịch sử - văn hóa; bảo đảm khoảng cách an toàn đến công trình dễ cháy, nổ, độc hại và công trình quan trọng có liên quan đến quốc phòng, an ninh.
- Thiết kế xây dựng công trình đã được thẩm định, phê duyệt theo quy định.
- Các loại quy hoạch sử dụng làm căn cứ để lập dự án đầu tư xây dựng theo quy định tại khoản 2 Điều 13 Nghị định số  175/2024/NĐ-CP là cơ sở xem xét cấp giấy phép xây dựng.
- Có văn bản đã được cơ quan nhà nước có thẩm quyền chấp thuận về vị trí và tổng mặt bằng của dự án theo quy định tại khoản 1 Điều 92 Luật Xây dựng năm 2014 là một trong các loại giấy tờ sau:
+ Quyết định phê duyệt quy hoạch chi tiết rút gọn và bản vẽ tổng mặt bằng, phương án kiến trúc công trình trong hồ sơ đồ án quy hoạch chi tiết rút gọn đã được phê duyệt;
+ Quyết định phê duyệt quy hoạch chi tiết xây dựng khu chức năng và Bản đồ quy hoạch tổng mặt bằng sử dụng đất và các bản đồ, bản vẽ kèm theo trong hồ sơ đồ án quy hoạch chi tiết xây dựng khu chức năng đã được phê duyệt;
+ Quyết định phê duyệt quy hoạch chi tiết xây dựng điểm dân cư nông thôn và các bản đồ, bản vẽ kèm theo trong hồ sơ đồ án quy hoạch chi tiết xây dựng điểm dân cư nông thôn đã được phê duyệt;
+ Văn bản chấp thuận về vị trí, hướng tuyến và tổng mặt bằng của dự án theo quy định của pháp luật có liên quan. Việc chấp thuận về vị trí, hướng tuyến và tổng mặt bằng của dự án thực hiện theo quy định tại khoản 5 Điều 121 Nghị định 175/2024/NĐ-CP.
  - Đối với khu vực đã có quy hoạch xây dựng và theo quy định, dự án đầu tư xây dựng phải phù hợp với quy hoạch có tính chất kỹ thuật, chuyên ngành khác thì quy hoạch xây dựng và quy hoạch có tính chất kỹ thuật, chuyên ngành này là cơ sở để xem xét cấp giấy phép xây dựng.
- Đối với khu vực chưa có quy hoạch xây dựng thì quy hoạch có tính chất kỹ thuật, chuyên ngành khác có liên quan hoặc thiết kế đô thị hoặc quy chế quản lý kiến trúc hoặc văn bản của cơ quan nhà nước có thẩm quyền chấp thuận về vị trí và tổng mặt bằng (đối với công trình không theo tuyến ngoài đô thị) là cơ sở để xem xét cấp giấy phép xây dựng.
- Đối với các công trình xây dựng ảnh hưởng lớn đến an toàn, lợi ích cộng đồng có yêu cầu thẩm tra theo quy định tại khoản 6 Điều 82 của Luật Xây dựng năm 2014 được sửa đổi, bổ sung tại khoản 24 Điều 1 của Luật số 62/2020/QH14, báo cáo kết quả thẩm tra ngoài các yêu cầu riêng của chủ đầu tư, phải có kết luận đáp ứng yêu cầu an toàn công trình, sự tuân thủ tiêu chuẩn, quy chuẩn kỹ thuật của hồ sơ thiết kế xây dựng.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2026-05-14T10:24:31Z</dcterms:created>
  <dc:creator>Apache POI</dc:creator>
</cp:coreProperties>
</file>