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1.013239.000.00.00.H18</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1352/QĐ-UBND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Thẩm định Báo cáo nghiên cứu khả thi đầu tư xây dựng/Báo cáo nghiên cứu khả thi đầu tư xây dựng điều chỉnh</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 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Hoạt động xây dựng</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Người đề nghị thẩm định nộp 01 bộ hồ sơ đề nghị thẩm định Báo cáo nghiên cứu khả thi đầu tư xây dựng/ Báo cáo nghiên cứu khả thi đầu tư xây dựng điều chỉnh.</w:t>
      </w:r>
    </w:p>
    <w:p>
      <w:pPr>
        <w:spacing w:after="0" w:before="0" w:lineRule="auto" w:line="276"/>
        <w:jc w:val="both"/>
      </w:pPr>
      <w:r>
        <w:rPr>
          <w:rFonts w:ascii="Times New Roman" w:hAnsi="Times New Roman" w:cs="Times New Roman" w:eastAsia="Times New Roman"/>
          <w:b w:val="false"/>
          <w:sz w:val="26"/>
        </w:rPr>
        <w:t>- Trong thời hạn 07 ngày sau khi tiếp nhận hồ sơ, cơ quan chuyên môn về xây dựng có trách nhiệm:</w:t>
      </w:r>
    </w:p>
    <w:p>
      <w:pPr>
        <w:spacing w:after="0" w:before="0" w:lineRule="auto" w:line="276"/>
        <w:jc w:val="both"/>
      </w:pPr>
      <w:r>
        <w:rPr>
          <w:rFonts w:ascii="Times New Roman" w:hAnsi="Times New Roman" w:cs="Times New Roman" w:eastAsia="Times New Roman"/>
          <w:b w:val="false"/>
          <w:sz w:val="26"/>
        </w:rPr>
        <w:t>+ Gửi văn bản yêu cầu bổ sung hồ sơ đến người đề nghị thẩm định;</w:t>
      </w:r>
    </w:p>
    <w:p>
      <w:pPr>
        <w:spacing w:after="0" w:before="0" w:lineRule="auto" w:line="276"/>
        <w:jc w:val="both"/>
      </w:pPr>
      <w:r>
        <w:rPr>
          <w:rFonts w:ascii="Times New Roman" w:hAnsi="Times New Roman" w:cs="Times New Roman" w:eastAsia="Times New Roman"/>
          <w:b w:val="false"/>
          <w:sz w:val="26"/>
        </w:rPr>
        <w:t>+ Gửi văn bản từ chối tiếp nhận thẩm định trong trường hợp xác định nội dung trong hồ sơ thẩm định khác nội dung nêu tại Tờ trình thẩm định.</w:t>
      </w:r>
    </w:p>
    <w:p>
      <w:pPr>
        <w:spacing w:after="0" w:before="0" w:lineRule="auto" w:line="276"/>
        <w:jc w:val="both"/>
      </w:pPr>
      <w:r>
        <w:rPr>
          <w:rFonts w:ascii="Times New Roman" w:hAnsi="Times New Roman" w:cs="Times New Roman" w:eastAsia="Times New Roman"/>
          <w:b w:val="false"/>
          <w:sz w:val="26"/>
        </w:rPr>
        <w:t>- Trong quá trình thẩm định, cơ quan chuyên môn về xây dựng có quyền tạm dừng thẩm định (không quá 01 lần) và có văn bản gửi người đề nghị thẩm định về các lỗi, sai sót về thông tin, số liệu trong nội dung hồ sơ dẫn đến không thể đưa ra kết luận thẩm định.</w:t>
      </w:r>
    </w:p>
    <w:p>
      <w:pPr>
        <w:spacing w:after="0" w:before="0" w:lineRule="auto" w:line="276"/>
        <w:jc w:val="both"/>
      </w:pPr>
      <w:r>
        <w:rPr>
          <w:rFonts w:ascii="Times New Roman" w:hAnsi="Times New Roman" w:cs="Times New Roman" w:eastAsia="Times New Roman"/>
          <w:b w:val="false"/>
          <w:sz w:val="26"/>
        </w:rPr>
        <w:t>Trong thời hạn 20 ngày kể từ ngày nhận được yêu cầu của cơ quan chuyên môn về xây dựng, nếu người đề nghị thẩm định không thực hiện việc bổ sung, khắc phục hồ sơ theo yêu cầu thì cơ quan chuyên môn về xây dựng dừng việc thẩm định. Người đề nghị thẩm định nhận lại hồ sơ trình thẩm định tại Bộ phận Một cửa.</w:t>
      </w:r>
    </w:p>
    <w:p>
      <w:pPr>
        <w:spacing w:after="0" w:before="0" w:lineRule="auto" w:line="276"/>
        <w:jc w:val="both"/>
      </w:pPr>
      <w:r>
        <w:rPr>
          <w:rFonts w:ascii="Times New Roman" w:hAnsi="Times New Roman" w:cs="Times New Roman" w:eastAsia="Times New Roman"/>
          <w:b w:val="false"/>
          <w:sz w:val="26"/>
        </w:rPr>
        <w:t>- Trong thời hạn không quá, 35 ngày (đối với dự án nhóm A), 25 ngày (đối với dự án nhóm B), 15 ngày (đối với dự án nhóm C) kể từ ngày nhận đủ hồ sơ hợp lệ, cơ quan chuyên môn về xây dựng ra văn bản thông báo kết quả thẩm định kèm theo hồ sơ bản vẽ được đóng dấu xác nhận thẩm định hoặc hồ sơ bản vẽ không đóng dấu thẩm định (trường hợp Thông báo kết quả thẩm định kết luận chưa đủ điều kiện hoặc chỉ đủ điều kiện sau khi chỉnh sửa, hoàn thiện hồ sơ thiết kế cơ sở).</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 xml:space="preserve"> </w:t>
            </w:r>
          </w:p>
        </w:tc>
        <w:tc>
          <w:p/>
          <w:p>
            <w:pPr>
              <w:spacing w:after="0" w:before="0" w:lineRule="auto" w:line="276"/>
              <w:jc w:val="left"/>
            </w:pPr>
            <w:r>
              <w:rPr>
                <w:rFonts w:ascii="Times New Roman" w:hAnsi="Times New Roman" w:cs="Times New Roman" w:eastAsia="Times New Roman"/>
                <w:b w:val="false"/>
                <w:sz w:val="26"/>
              </w:rPr>
              <w:t xml:space="preserve">Phí :  </w:t>
              <w:t xml:space="preserve"> (Theo quy định tại Thông tư số 28/2023/TT-BTC ngày 12/5/2023 của Bộ trưởng Bộ Tài chính quy định mức thu, chế độ thu, nộp, quản lý và sử dụng phí thẩm định dự án đầu tư xây dựng)</w:t>
            </w:r>
          </w:p>
        </w:tc>
        <w:tc>
          <w:p/>
          <w:p>
            <w:pPr>
              <w:spacing w:after="0" w:before="0" w:lineRule="auto" w:line="276"/>
              <w:jc w:val="left"/>
            </w:pPr>
            <w:r>
              <w:rPr>
                <w:rFonts w:ascii="Times New Roman" w:hAnsi="Times New Roman" w:cs="Times New Roman" w:eastAsia="Times New Roman"/>
                <w:b w:val="false"/>
                <w:sz w:val="26"/>
              </w:rPr>
              <w:t>- Dự án nhóm A không quá 35 ngày, dự án nhóm B không quá 25 ngày, dự án nhóm C không quá 15 ngày kể từ ngày nhận đủ hồ sơ hợp lệ.</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 xml:space="preserve"> </w:t>
            </w:r>
          </w:p>
        </w:tc>
        <w:tc>
          <w:p/>
          <w:p>
            <w:pPr>
              <w:spacing w:after="0" w:before="0" w:lineRule="auto" w:line="276"/>
              <w:jc w:val="left"/>
            </w:pPr>
            <w:r>
              <w:rPr>
                <w:rFonts w:ascii="Times New Roman" w:hAnsi="Times New Roman" w:cs="Times New Roman" w:eastAsia="Times New Roman"/>
                <w:b w:val="false"/>
                <w:sz w:val="26"/>
              </w:rPr>
              <w:t xml:space="preserve">Phí :  </w:t>
              <w:t xml:space="preserve"> (Theo quy định tại Thông tư số 28/2023/TT-BTC ngày 12/5/2023 của Bộ trưởng Bộ Tài chính quy định mức thu, chế độ thu, nộp, quản lý và sử dụng phí thẩm định dự án đầu tư xây dựng)</w:t>
            </w:r>
          </w:p>
        </w:tc>
        <w:tc>
          <w:p/>
          <w:p>
            <w:pPr>
              <w:spacing w:after="0" w:before="0" w:lineRule="auto" w:line="276"/>
              <w:jc w:val="left"/>
            </w:pPr>
            <w:r>
              <w:rPr>
                <w:rFonts w:ascii="Times New Roman" w:hAnsi="Times New Roman" w:cs="Times New Roman" w:eastAsia="Times New Roman"/>
                <w:b w:val="false"/>
                <w:sz w:val="26"/>
              </w:rPr>
              <w:t>- Dự án nhóm A không quá 35 ngày, dự án nhóm B không quá 25 ngày, dự án nhóm C không quá 15 ngày kể từ ngày nhận đủ hồ sơ hợp lệ.</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 xml:space="preserve"> </w:t>
            </w:r>
          </w:p>
        </w:tc>
        <w:tc>
          <w:p/>
          <w:p>
            <w:pPr>
              <w:spacing w:after="0" w:before="0" w:lineRule="auto" w:line="276"/>
              <w:jc w:val="left"/>
            </w:pPr>
            <w:r>
              <w:rPr>
                <w:rFonts w:ascii="Times New Roman" w:hAnsi="Times New Roman" w:cs="Times New Roman" w:eastAsia="Times New Roman"/>
                <w:b w:val="false"/>
                <w:sz w:val="26"/>
              </w:rPr>
              <w:t xml:space="preserve">Phí :  </w:t>
              <w:t xml:space="preserve"> (Theo quy định tại Thông tư số 28/2023/TT-BTC ngày 12/5/2023 của Bộ trưởng Bộ Tài chính quy định mức thu, chế độ thu, nộp, quản lý và sử dụng phí thẩm định dự án đầu tư xây dựng)</w:t>
            </w:r>
          </w:p>
        </w:tc>
        <w:tc>
          <w:p/>
          <w:p>
            <w:pPr>
              <w:spacing w:after="0" w:before="0" w:lineRule="auto" w:line="276"/>
              <w:jc w:val="left"/>
            </w:pPr>
            <w:r>
              <w:rPr>
                <w:rFonts w:ascii="Times New Roman" w:hAnsi="Times New Roman" w:cs="Times New Roman" w:eastAsia="Times New Roman"/>
                <w:b w:val="false"/>
                <w:sz w:val="26"/>
              </w:rPr>
              <w:t>- Dự án nhóm A không quá 35 ngày, dự án nhóm B không quá 25 ngày, dự án nhóm C không quá 15 ngày kể từ ngày nhận đủ hồ sơ hợp lệ.</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Văn bản về chủ trương đầu tư xây dựng công trình (đối với các dự án thuộc diện phải có quyết định/chấp thuận chủ trương đầu tư theo quy định pháp luật về đầu tư, đầu tư công, đầu tư theo phương thức đối tác công tư) hoặc quyết định phê duyệt Đề án du lịch sinh thái, nghỉ dưỡng, giải trí trong rừng đối với dự án du lịch sinh thái, nghỉ dưỡng, giải trí trong rừng theo quy định của pháp luật về lâm nghiệp;</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Giấy phép đầu tư, Giấy chứng nhận ưu đãi đầu tư, Giấy chứng nhận đầu tư, Giấy chứng nhận đăng ký đầu tư; Quyết định phê duyệt kết quả trúng đấu giá quyền sử dụng đất, trúng đấu thầu dự án có sử dụng đất đối với dự án thuộc trường hợp được chuyển tiếp theo quy định pháp luật về đầu tư không có yêu cầu phải thực hiện chấp thuận chủ trương đầu tư;</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Quyết định lựa chọn phương án thiết kế kiến trúc thông qua thi tuyển và bản vẽ kèm theo (nếu có yêu cầu thi tuyển theo quy định);</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Văn bản/quyết định phê duyệt và bản đồ, bản vẽ kèm theo (nếu có) của quy hoạch sử dụng làm căn cứ lập dự án theo quy định tại khoản 2 Điều 13 Nghị định số 175/2024/NĐ-CP</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Văn bản/quyết định phê duyệt và các bản vẽ có liên quan hoặc trích lục phần bản vẽ có liên quan (nếu có) của quy hoạch được sử dụng làm căn cứ lập quy hoạch quy định tại điểm d khoản 2 Điều 17 Nghị định số 175/2024/NĐ-CP</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Quyết định phê duyệt kết quả thẩm định báo cáo đánh giá tác động môi trường hoặc giấy phép môi trường theo quy định của pháp luật về bảo vệ môi trường (nếu có yêu cầu theo quy định)</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Thủ tục về bảo vệ môi trường được thực hiện theo nguyên tắc đồng thời, không yêu cầu bắt buộc xuất trình các văn bản này tại thời điểm trình hồ sơ thẩm định, nhưng phải có kết quả gửi cơ quan chuyên môn về xây dựng trước thời hạn thông báo kết quả thẩm định 05 ngày</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Các văn bản thỏa thuận, xác nhận về đấu nối hạ tầng kỹ thuật của dự án, văn bản chấp thuận độ cao công trình theo quy định của Chính phủ về quản lý độ cao chướng ngại vật hàng không và các trận địa quản lý, bảo vệ vùng trời tại Việt Nam (trường hợp dự án không thuộc khu vực hoặc đối tượng có yêu cầu lấy ý kiến thống nhất về bề mặt quản lý độ cao công trình tại giai đoạn phê duyệt quy hoạch xây dựng) (nếu có);</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Các văn bản pháp lý, tài liệu khác có liên quan (nếu có)</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Hồ sơ khảo sát xây dựng được phê duyệt; thuyết minh Báo cáo nghiên cứu khả thi đầu tư xây dựng; thiết kế cơ sở hoặc thiết kế khác theo thông lệ quốc tế phục vụ lập Báo cáo nghiên cứu khả thi đầu tư xây dựng (gồm bản vẽ và thuyết minh); danh mục tiêu chuẩn chủ yếu áp dụng cho dự án; Báo cáo kết quả thẩm tra thiết kế cơ sở (nếu có).</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Danh sách các nhà thầu kèm theo mã số chứng chỉ năng lực của nhà thầu khảo sát, nhà thầu lập thiết kế cơ sở, nhà thầu thẩm tra (nếu có); mã số chứng chỉ hành nghề hoạt động xây dựng của các chức danh chủ nhiệm khảo sát xây dựng; chủ nhiệm, chủ trì các bộ môn thiết kế, lập tổng mức đầu tư; chủ nhiệm, chủ trì thẩm tra (nếu có)</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Đối với dự án sử dụng vốn đầu tư công, vốn nhà nước ngoài đầu tư công, ngoài các nội dung quy định nêu trên, hồ sơ trình thẩm định phải có các nội dung sau: tổng mức đầu tư; các thông tin, số liệu có liên quan về giá, định mức, báo giá, kết quả thẩm định giá (nếu có) để xác định tổng mức đầu tư</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Đối với dự án có vi phạm hành chính về xây dựng đã bị xử phạt và biện pháp khắc phục hậu quả có yêu cầu thực hiện thẩm định, thẩm định điều chỉnh, cấp giấy phép xây dựng hoặc điều chỉnh giấy phép xây dựng, hồ sơ trình thẩm định còn phải có các nội dung: Báo cáo của chủ đầu tư về quá trình thực hiện dự án, tình hình thực tế thi công các công trình xây dựng của dự án đến thời điểm trình thẩm định; biên bản, quyết định xử phạt vi phạm hành chính của cấp có thẩm quyền; Báo cáo kiểm định của tổ chức kiểm định xây dựng đánh giá về khả năng chịu lực của phần công trình đã thi công xây dựng</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Đối với dự án sửa chữa, cải tạo, hồ sơ trình thẩm định còn phải có các nội dung: Hồ sơ khảo sát hiện trạng, Báo cáo kiểm định của tổ chức kiểm định xây dựng đánh giá về khả năng chịu lực của công trình (trường hợp nội dung sửa chữa, cải tạo có liên quan)</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Ngoài các hồ sơ nêu trên, đối với dự án có quy mô từ nhóm B trở lên mà có công trình xây dựng mới từ cấp II trở lên, người đề nghị thẩm định có trách nhiệm cung cấp dữ liệu BIM của công trình theo các định dạng gốc và định dạng chuẩn IFC 4.0 hoặc các định dạng mở khác phù hợp với đặc thù, tính chất của công trình bằng các thiết bị lưu trữ phổ biến. Dữ liệu BIM có thể bao gồm nhiều tệp tin nhưng dung lượng mỗi tệp tin không quá 500 MB. Dữ liệu BIM phải có các thông tin thể hiện được vị trí, hình dạng không gian ba chiều của công trình và đầy đủ kích thước chủ yếu các bộ phận chính của công trình theo quy định tại khoản 2 Điều 8 Nghị định số 175/2024/NĐ-CP</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Đối với hồ sơ trình thẩm định Báo cáo nghiên cứu khả thi đầu tư xây dựng điều chỉnh, ngoài các thành phần hồ sơ nêu trên, còn phải làm rõ các nội dung sau:</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Lý do, mục tiêu điều chỉnh dự án, việc đáp ứng điều kiện điều chỉnh dự án theo pháp luật có liên quan đối với dự án đầu tư xây dựng sử dụng vốn đầu tư công, vốn nhà nước ngoài đầu tư công, dự án PPP</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Báo cáo của chủ đầu tư về quá trình thực hiện dự án, tình hình thực tế thi công các công trình xây dựng của dự án đến thời điểm đề xuất điều chỉnh</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Tờ trình thẩm định Báo cáo nghiên cứu khả thi đầu tư xây dựng/ Báo cáo nghiên cứu khả thi đầu tư xây dựng điều chỉnh theo Mẫu số 01 Phụ lục I Nghị định số 175/2024/NĐ-CP của Chính phủ;</w:t>
            </w:r>
          </w:p>
        </w:tc>
        <w:tc>
          <w:p/>
          <w:p>
            <w:pPr>
              <w:spacing w:after="0" w:before="0" w:lineRule="auto" w:line="276"/>
              <w:jc w:val="left"/>
            </w:pPr>
            <w:r>
              <w:rPr>
                <w:rFonts w:ascii="Times New Roman" w:hAnsi="Times New Roman" w:cs="Times New Roman" w:eastAsia="Times New Roman"/>
                <w:b w:val="false"/>
                <w:sz w:val="26"/>
              </w:rPr>
              <w:t>8.M01.PLI.T.docx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Doanh nghiệp</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Sở Công Thương - tỉnh Điện Biên, Sở Nông nghiệp và Môi trường - tỉnh Điện Biên, Sở Xây dựng  - tỉnh Điện Biên, Phòng Nông nghiệp và Môi trường - Huyện Tủa Chùa - tỉnh Điện Biên</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Bộ phận Tiếp nhận và Trả kết quả: Sở Xây dựng; Sở Giao thông vận tải; Sở Nông nghiệp và Phát triển nông thôn; Sở Công Thương.</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Văn bản thông báo kết quả thẩm định Báo cáo nghiên cứu khả thi đầu tư xây dựng/ Báo cáo nghiên cứu khả thi đầu tư xây dựng điều chỉnh theo Mẫu số 03 Phụ lục I Nghị định số 175/2024/NĐ-CP kèm theo hồ sơ bản vẽ thiết kế xây dựng có đóng dấu xác nhận đã được thẩm định của cơ quan chuyên môn về xây dựng theo mẫu số 12 Phụ lục I Nghị định số 175/2024/NĐ-CP hoặc hồ sơ bản vẽ không đóng dấu thẩm định (trường hợp Thông báo kết quả thẩm định kết luận chưa đủ điều kiện hoặc chỉ đủ điều kiện sau khi chỉnh sửa, hoàn thiện hồ sơ thiết kế cơ sở).</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50/2014/QH13</w:t>
            </w:r>
          </w:p>
        </w:tc>
        <w:tc>
          <w:p/>
          <w:p>
            <w:pPr>
              <w:spacing w:after="0" w:before="0" w:lineRule="auto" w:line="276"/>
              <w:jc w:val="left"/>
            </w:pPr>
            <w:r>
              <w:rPr>
                <w:rFonts w:ascii="Times New Roman" w:hAnsi="Times New Roman" w:cs="Times New Roman" w:eastAsia="Times New Roman"/>
                <w:b w:val="false"/>
                <w:sz w:val="26"/>
              </w:rPr>
              <w:t>Luật Xây dựng năm 2014</w:t>
            </w:r>
          </w:p>
        </w:tc>
        <w:tc>
          <w:p/>
          <w:p>
            <w:pPr>
              <w:spacing w:after="0" w:before="0" w:lineRule="auto" w:line="276"/>
              <w:jc w:val="left"/>
            </w:pPr>
            <w:r>
              <w:rPr>
                <w:rFonts w:ascii="Times New Roman" w:hAnsi="Times New Roman" w:cs="Times New Roman" w:eastAsia="Times New Roman"/>
                <w:b w:val="false"/>
                <w:sz w:val="26"/>
              </w:rPr>
              <w:t>18-06-2014</w:t>
            </w:r>
          </w:p>
        </w:tc>
        <w:tc>
          <w:p/>
        </w:tc>
      </w:tr>
      <w:tr>
        <w:tc>
          <w:p/>
          <w:p>
            <w:pPr>
              <w:spacing w:after="0" w:before="0" w:lineRule="auto" w:line="276"/>
              <w:jc w:val="left"/>
            </w:pPr>
            <w:r>
              <w:rPr>
                <w:rFonts w:ascii="Times New Roman" w:hAnsi="Times New Roman" w:cs="Times New Roman" w:eastAsia="Times New Roman"/>
                <w:b w:val="false"/>
                <w:sz w:val="26"/>
              </w:rPr>
              <w:t>62/2020/QH14</w:t>
            </w:r>
          </w:p>
        </w:tc>
        <w:tc>
          <w:p/>
          <w:p>
            <w:pPr>
              <w:spacing w:after="0" w:before="0" w:lineRule="auto" w:line="276"/>
              <w:jc w:val="left"/>
            </w:pPr>
            <w:r>
              <w:rPr>
                <w:rFonts w:ascii="Times New Roman" w:hAnsi="Times New Roman" w:cs="Times New Roman" w:eastAsia="Times New Roman"/>
                <w:b w:val="false"/>
                <w:sz w:val="26"/>
              </w:rPr>
              <w:t>Luật sửa đổi, bổ sung một số điều của Luật Xây dựng năm 2020</w:t>
            </w:r>
          </w:p>
        </w:tc>
        <w:tc>
          <w:p/>
          <w:p>
            <w:pPr>
              <w:spacing w:after="0" w:before="0" w:lineRule="auto" w:line="276"/>
              <w:jc w:val="left"/>
            </w:pPr>
            <w:r>
              <w:rPr>
                <w:rFonts w:ascii="Times New Roman" w:hAnsi="Times New Roman" w:cs="Times New Roman" w:eastAsia="Times New Roman"/>
                <w:b w:val="false"/>
                <w:sz w:val="26"/>
              </w:rPr>
              <w:t>17-06-2020</w:t>
            </w:r>
          </w:p>
        </w:tc>
        <w:tc>
          <w:p/>
        </w:tc>
      </w:tr>
      <w:tr>
        <w:tc>
          <w:p/>
          <w:p>
            <w:pPr>
              <w:spacing w:after="0" w:before="0" w:lineRule="auto" w:line="276"/>
              <w:jc w:val="left"/>
            </w:pPr>
            <w:r>
              <w:rPr>
                <w:rFonts w:ascii="Times New Roman" w:hAnsi="Times New Roman" w:cs="Times New Roman" w:eastAsia="Times New Roman"/>
                <w:b w:val="false"/>
                <w:sz w:val="26"/>
              </w:rPr>
              <w:t>175/2024/NĐ-CP</w:t>
            </w:r>
          </w:p>
        </w:tc>
        <w:tc>
          <w:p/>
          <w:p>
            <w:pPr>
              <w:spacing w:after="0" w:before="0" w:lineRule="auto" w:line="276"/>
              <w:jc w:val="left"/>
            </w:pPr>
            <w:r>
              <w:rPr>
                <w:rFonts w:ascii="Times New Roman" w:hAnsi="Times New Roman" w:cs="Times New Roman" w:eastAsia="Times New Roman"/>
                <w:b w:val="false"/>
                <w:sz w:val="26"/>
              </w:rPr>
              <w:t>Nghị định số 175/2024/NĐ-CP của Chính phủ quy định chi tiết một số điều và biện pháp thi hành Luật Xây dựng về quản lý hoạt động xây dựng</w:t>
            </w:r>
          </w:p>
        </w:tc>
        <w:tc>
          <w:p/>
          <w:p>
            <w:pPr>
              <w:spacing w:after="0" w:before="0" w:lineRule="auto" w:line="276"/>
              <w:jc w:val="left"/>
            </w:pPr>
            <w:r>
              <w:rPr>
                <w:rFonts w:ascii="Times New Roman" w:hAnsi="Times New Roman" w:cs="Times New Roman" w:eastAsia="Times New Roman"/>
                <w:b w:val="false"/>
                <w:sz w:val="26"/>
              </w:rPr>
              <w:t>30-12-2024</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Hồ sơ trình thẩm định phải bảo đảm tính pháp lý, hợp lệ, phù hợp với nội dung đề nghị thẩm định. Hồ sơ trình thẩm định được xem là đúng quy cách, được trình bày với ngôn ngữ chính là tiếng Việt và được người đề nghị thẩm định kiểm tra, xác nhận.</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2026-05-25T17:14:46Z</dcterms:created>
  <dc:creator>Apache POI</dc:creator>
</cp:coreProperties>
</file>