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tỉnh Điện Biên hoặc Trung tâm Phục vụ hành chính công cấp xã trường hợp được phân cấp (sau đây gọi chung là cơ quan chuyên môn về xây dựng).</w:t>
      </w:r>
    </w:p>
    <w:p>
      <w:pPr>
        <w:spacing w:after="0" w:before="0" w:lineRule="auto" w:line="276"/>
        <w:jc w:val="both"/>
      </w:pPr>
      <w:r>
        <w:rPr>
          <w:rFonts w:ascii="Times New Roman" w:hAnsi="Times New Roman" w:cs="Times New Roman" w:eastAsia="Times New Roman"/>
          <w:b w:val="false"/>
          <w:sz w:val="26"/>
        </w:rPr>
        <w:t>- Trong thời hạn 07 ngày làm việc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w:t>
      </w:r>
    </w:p>
    <w:p>
      <w:pPr>
        <w:spacing w:after="0" w:before="0" w:lineRule="auto" w:line="276"/>
        <w:jc w:val="both"/>
      </w:pPr>
      <w:r>
        <w:rPr>
          <w:rFonts w:ascii="Times New Roman" w:hAnsi="Times New Roman" w:cs="Times New Roman" w:eastAsia="Times New Roman"/>
          <w:b w:val="false"/>
          <w:sz w:val="26"/>
        </w:rPr>
        <w:t>-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w:t>
      </w:r>
    </w:p>
    <w:p>
      <w:pPr>
        <w:spacing w:after="0" w:before="0" w:lineRule="auto" w:line="276"/>
        <w:jc w:val="both"/>
      </w:pPr>
      <w:r>
        <w:rPr>
          <w:rFonts w:ascii="Times New Roman" w:hAnsi="Times New Roman" w:cs="Times New Roman" w:eastAsia="Times New Roman"/>
          <w:b w:val="false"/>
          <w:sz w:val="26"/>
        </w:rPr>
        <w:t>-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w:t>
      </w:r>
    </w:p>
    <w:p>
      <w:pPr>
        <w:spacing w:after="0" w:before="0" w:lineRule="auto" w:line="276"/>
        <w:jc w:val="both"/>
      </w:pPr>
      <w:r>
        <w:rPr>
          <w:rFonts w:ascii="Times New Roman" w:hAnsi="Times New Roman" w:cs="Times New Roman" w:eastAsia="Times New Roman"/>
          <w:b w:val="false"/>
          <w:sz w:val="26"/>
        </w:rPr>
        <w:t>-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tại Thông tư số 27/2023/TT-BTC ngày 12/5/2023 của Bộ trưởng Bộ Tài chính quy định mức thu, chế độ thu, nộp, quản lý và sử dụng phí thẩm định thiết kế kỹ thuật, phí thẩm định dự toán xây dựng)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 Không quá 40 ngày đối với công trình cấp đặc biệt, cấp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Công Thương - tỉnh Điện Biên, Sở Nông nghiệp và Môi trường - tỉnh Điện Biên,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 trường hợp được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65/2025/QĐ-UBND</w:t>
            </w:r>
          </w:p>
        </w:tc>
        <w:tc>
          <w:p/>
          <w:p>
            <w:pPr>
              <w:spacing w:after="0" w:before="0" w:lineRule="auto" w:line="276"/>
              <w:jc w:val="left"/>
            </w:pPr>
            <w:r>
              <w:rPr>
                <w:rFonts w:ascii="Times New Roman" w:hAnsi="Times New Roman" w:cs="Times New Roman" w:eastAsia="Times New Roman"/>
                <w:b w:val="false"/>
                <w:sz w:val="26"/>
              </w:rPr>
              <w:t>Quyết định Ban hành quy định phân công, phân cấp về thẩm định Báo cáo nghiên cứu khả thi, Báo cáo kinh tế - kỹ thuật và thiết kế xây dựng triển khai sau thiết kế cơ sở của dự án đầu tư xây dựng trên địa bàn tỉnh Điện Biên</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2026-05-11T11:27:06Z</dcterms:created>
  <dc:creator>Apache POI</dc:creator>
</cp:coreProperties>
</file>