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2.000424.H26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thực hiện hỗ trợ khi hòa giải viên gặp tai nạn hoặc rủi ro ảnh hưởng đến sức khỏe, tính mạng trong khi thực hiện hoạt động hòa giải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ở cơ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Trong trường hợp hòa giải viên gặp tai nạn hoặc rủi ro ảnh hưởng đến sức khỏe, tính mạng trong khi thực hiện hoạt động hòa giải ở cơ sở, hòa giải viên hoặc đại diện gia đình hòa giải viên (trong trường hợp hòa giải viên bị thiệt hại về tính mạng) nộp hồ sơ đề nghị hỗ trợ trực tiếp hoặc qua dịch vụ bưu chính đến Ủy ban nhân dân cấp xã nơi đã ra quyết định công nhận hòa giải viên hoặc nộp trực tuyến trên Cổng dịch vụ công quốc gia. 
- Trong thời hạn 07 ngày làm việc, Ủy ban nhân dân cấp xã nơi đã ra quyết định công nhận hòa giải viên xem xét, ra quyết định hỗ trợ và thực hiện việc chi tiền hỗ trợ cho hòa giải viên gặp tai nạn hoặc rủi ro ảnh hưởng đến tính mạng, sức khỏe trong khi thực hiện hoạt động hòa giải.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07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kèm theo bản chính để đối chiếu hoặc bản sao điện tử Biên bản xác nhận tình trạng của hòa giải viên bị tai nạn có xác nhận của Ủy ban nhân dân cấp xã nơi xảy ra tai nạn hoặc cơ quan công an nơi xảy ra tai nạn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kèm theo bản chính để đối chiếu hoặc bản sao điện tử Giấy ra viện, hóa đơn thanh toán chi phí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kèm theo bản chính để đối chiếu hoặc bản sao điện tử văn bản, giấy tờ hợp lệ về thu nhập thực tế theo tiền lương, tiền công hằng tháng của người bị tai nạn có xác nhận của tổ chức hoặc cá nhân sử dụng lao động để cơ quan nhà nước có thẩm quyền xác định thu nhập thực tế bị mất hoặc giảm sút, bao gồm: Hợp đồng lao động, quyết định nâng lương của tổ chức hoặc cá nhân sử dụng lao động hoặc bản kê có thu nhập thực tế của hòa giải viên bị tai nạn và các giấy tờ chứng minh thu nhập thực tế hợp pháp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kèm theo bản chính để đối chiếu hoặc bản sao điện tử Giấy chứng tử trong trường hợp hòa giải viên bị thiệt hại về tính mạng (Việc nộp bản chính hoặc bản sao có chứng thực hoặc bản sao điện tử Giấy chứng tử chỉ thực hiện trong trường hợp cơ quan tiếp nhận không thể khai thác được thông tin trong Cơ sở dữ liệu hộ tịch điện tử hoặc thông tin khai thác được không đầy đủ, không chính xác)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đề nghị hỗ trợ của hòa giải viên hoặc gia đình hòa giải viên trong trường hợp hòa giải viên bị thiệt hại về tính mạng có xác nhận của tổ trưởng tổ hòa giải hoặc Trưởng ban công tác Mặt trận trong trường hợp hòa giải viên bị thiệt hại là tổ trưởng tổ hòa giải. Giấy đề nghị hỗ trợ phải ghi rõ họ tên, địa chỉ của người yêu cầu hỗ trợ; lý do yêu cầu hỗ trợ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 hòa giải viên gặp tai nạn hoặc rủi ro ảnh hưởng đến sức khỏe, tính mạng trong khi thực hiện hoạt động hòa giải, Văn bản trả lời trong trường hợp không hỗ trợ hòa giải viên gặp tai nạn hoặc rủi ro ảnh hưởng đến sức khỏe, tính mạng trong khi thực hiện hoạt động hòa giải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15/2014/NĐ-CP</w:t>
            </w:r>
          </w:p>
        </w:tc>
        <w:tc>
          <w:p/>
          <w:p>
            <w:pPr>
              <w:spacing w:after="0" w:before="0" w:lineRule="auto" w:line="276"/>
              <w:jc w:val="left"/>
            </w:pPr>
            <w:r>
              <w:rPr>
                <w:rFonts w:ascii="Times New Roman" w:hAnsi="Times New Roman" w:cs="Times New Roman" w:eastAsia="Times New Roman"/>
                <w:b w:val="false"/>
                <w:sz w:val="26"/>
              </w:rPr>
              <w:t>Nghị định 15/2014/NĐ-CP</w:t>
            </w:r>
          </w:p>
        </w:tc>
        <w:tc>
          <w:p/>
          <w:p>
            <w:pPr>
              <w:spacing w:after="0" w:before="0" w:lineRule="auto" w:line="276"/>
              <w:jc w:val="left"/>
            </w:pPr>
            <w:r>
              <w:rPr>
                <w:rFonts w:ascii="Times New Roman" w:hAnsi="Times New Roman" w:cs="Times New Roman" w:eastAsia="Times New Roman"/>
                <w:b w:val="false"/>
                <w:sz w:val="26"/>
              </w:rPr>
              <w:t>27-02-2014</w:t>
            </w:r>
          </w:p>
        </w:tc>
        <w:tc>
          <w:p/>
        </w:tc>
      </w:tr>
      <w:tr>
        <w:tc>
          <w:p/>
          <w:p>
            <w:pPr>
              <w:spacing w:after="0" w:before="0" w:lineRule="auto" w:line="276"/>
              <w:jc w:val="left"/>
            </w:pPr>
            <w:r>
              <w:rPr>
                <w:rFonts w:ascii="Times New Roman" w:hAnsi="Times New Roman" w:cs="Times New Roman" w:eastAsia="Times New Roman"/>
                <w:b w:val="false"/>
                <w:sz w:val="26"/>
              </w:rPr>
              <w:t>35/2013/QH13</w:t>
            </w:r>
          </w:p>
        </w:tc>
        <w:tc>
          <w:p/>
          <w:p>
            <w:pPr>
              <w:spacing w:after="0" w:before="0" w:lineRule="auto" w:line="276"/>
              <w:jc w:val="left"/>
            </w:pPr>
            <w:r>
              <w:rPr>
                <w:rFonts w:ascii="Times New Roman" w:hAnsi="Times New Roman" w:cs="Times New Roman" w:eastAsia="Times New Roman"/>
                <w:b w:val="false"/>
                <w:sz w:val="26"/>
              </w:rPr>
              <w:t>Luật 35/2013/QH13</w:t>
            </w:r>
          </w:p>
        </w:tc>
        <w:tc>
          <w:p/>
          <w:p>
            <w:pPr>
              <w:spacing w:after="0" w:before="0" w:lineRule="auto" w:line="276"/>
              <w:jc w:val="left"/>
            </w:pPr>
            <w:r>
              <w:rPr>
                <w:rFonts w:ascii="Times New Roman" w:hAnsi="Times New Roman" w:cs="Times New Roman" w:eastAsia="Times New Roman"/>
                <w:b w:val="false"/>
                <w:sz w:val="26"/>
              </w:rPr>
              <w:t>20-06-2013</w:t>
            </w:r>
          </w:p>
        </w:tc>
        <w:tc>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09/2025/TT-BTP</w:t>
            </w:r>
          </w:p>
        </w:tc>
        <w:tc>
          <w:p/>
          <w:p>
            <w:pPr>
              <w:spacing w:after="0" w:before="0" w:lineRule="auto" w:line="276"/>
              <w:jc w:val="left"/>
            </w:pPr>
            <w:r>
              <w:rPr>
                <w:rFonts w:ascii="Times New Roman" w:hAnsi="Times New Roman" w:cs="Times New Roman" w:eastAsia="Times New Roman"/>
                <w:b w:val="false"/>
                <w:sz w:val="26"/>
              </w:rPr>
              <w:t>09/2025/TT-BTP</w:t>
            </w:r>
          </w:p>
        </w:tc>
        <w:tc>
          <w:p/>
          <w:p>
            <w:pPr>
              <w:spacing w:after="0" w:before="0" w:lineRule="auto" w:line="276"/>
              <w:jc w:val="left"/>
            </w:pPr>
            <w:r>
              <w:rPr>
                <w:rFonts w:ascii="Times New Roman" w:hAnsi="Times New Roman" w:cs="Times New Roman" w:eastAsia="Times New Roman"/>
                <w:b w:val="false"/>
                <w:sz w:val="26"/>
              </w:rPr>
              <w:t>16-06-2025</w:t>
            </w:r>
          </w:p>
        </w:tc>
        <w:tc>
          <w:p/>
          <w:p>
            <w:pPr>
              <w:spacing w:after="0" w:before="0" w:lineRule="auto" w:line="276"/>
              <w:jc w:val="left"/>
            </w:pPr>
            <w:r>
              <w:rPr>
                <w:rFonts w:ascii="Times New Roman" w:hAnsi="Times New Roman" w:cs="Times New Roman" w:eastAsia="Times New Roman"/>
                <w:b w:val="false"/>
                <w:sz w:val="26"/>
              </w:rPr>
              <w:t>Bộ trưởng 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Hòa giải viên gặp tai nạn hoặc rủi ro ảnh hưởng đến sức khỏe, tính mạng trong khi thực hiện hoạt động hòa giải ở cơ sở</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2026-05-25T20:28:57Z</dcterms:created>
  <dc:creator>Apache POI</dc:creator>
</cp:coreProperties>
</file>