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2.001594.H26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1666/QĐ-TTPVHCC</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giấy phép hoạt động in xuất bản phẩm (địa phương)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Xuất Bản, In và Phát hành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Cơ quan, tổ chức, cá nhân chuẩn bị hồ sơ theo quy định gửi đến Sở Thông tin và Truyền thông hoặc cơ quan chuyên môn được Ủy ban nhân dân tỉnh, thành phố trực thuộc Trung ương giao nhiệm vụ quản lý nhà nước về hoạt động xuất bản (gọi tắt là Sở);</w:t>
      </w:r>
    </w:p>
    <w:p>
      <w:pPr>
        <w:spacing w:after="0" w:before="0" w:lineRule="auto" w:line="276"/>
        <w:jc w:val="both"/>
      </w:pPr>
      <w:r>
        <w:rPr>
          <w:rFonts w:ascii="Times New Roman" w:hAnsi="Times New Roman" w:cs="Times New Roman" w:eastAsia="Times New Roman"/>
          <w:b w:val="false"/>
          <w:sz w:val="26"/>
        </w:rPr>
        <w:t>- Trong thời hạn 10 ngày làm việc, kể từ này nhận đủ hồ sơ hợp lệ, Sở phải cấp Giấy phép hoạt động in xuất bản phẩm; trường hợp không cấp giấy phép phải có văn bản trả lời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t>Phí : 0 Đồng</w:t>
              <w:t xml:space="preserve"> (Không có)</w:t>
            </w:r>
          </w:p>
        </w:tc>
        <w:tc>
          <w:p/>
          <w:p>
            <w:pPr>
              <w:spacing w:after="0" w:before="0" w:lineRule="auto" w:line="276"/>
              <w:jc w:val="left"/>
            </w:pPr>
            <w:r>
              <w:rPr>
                <w:rFonts w:ascii="Times New Roman" w:hAnsi="Times New Roman" w:cs="Times New Roman" w:eastAsia="Times New Roman"/>
                <w:b w:val="false"/>
                <w:sz w:val="26"/>
              </w:rPr>
              <w:t>Nộp trực tiếp</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t>Phí : 0 Đồng</w:t>
              <w:t xml:space="preserve"> (Không có)</w:t>
            </w:r>
          </w:p>
        </w:tc>
        <w:tc>
          <w:p/>
          <w:p>
            <w:pPr>
              <w:spacing w:after="0" w:before="0" w:lineRule="auto" w:line="276"/>
              <w:jc w:val="left"/>
            </w:pPr>
            <w:r>
              <w:rPr>
                <w:rFonts w:ascii="Times New Roman" w:hAnsi="Times New Roman" w:cs="Times New Roman" w:eastAsia="Times New Roman"/>
                <w:b w:val="false"/>
                <w:sz w:val="26"/>
              </w:rPr>
              <w:t>Nộp qua hệ thống dịch vụ công trực tuyến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t>Phí : 0 Đồng</w:t>
              <w:t xml:space="preserve"> (Không có)</w:t>
            </w:r>
          </w:p>
        </w:tc>
        <w:tc>
          <w:p/>
          <w:p>
            <w:pPr>
              <w:spacing w:after="0" w:before="0" w:lineRule="auto" w:line="276"/>
              <w:jc w:val="left"/>
            </w:pPr>
            <w:r>
              <w:rPr>
                <w:rFonts w:ascii="Times New Roman" w:hAnsi="Times New Roman" w:cs="Times New Roman" w:eastAsia="Times New Roman"/>
                <w:b w:val="false"/>
                <w:sz w:val="26"/>
              </w:rPr>
              <w:t>Nộp qua hệ thống bưu chính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Đơn đề nghị cấp giấy phép hoạt động in xuất bản phẩm theo mẫu số 17 tại Phụ lục kèm theo Thông tư số 23/2023/TT-BTTTT;</w:t>
            </w:r>
          </w:p>
        </w:tc>
        <w:tc>
          <w:p/>
          <w:p>
            <w:pPr>
              <w:spacing w:after="0" w:before="0" w:lineRule="auto" w:line="276"/>
              <w:jc w:val="left"/>
            </w:pPr>
            <w:r>
              <w:rPr>
                <w:rFonts w:ascii="Times New Roman" w:hAnsi="Times New Roman" w:cs="Times New Roman" w:eastAsia="Times New Roman"/>
                <w:b w:val="false"/>
                <w:sz w:val="26"/>
              </w:rPr>
              <w:t>Mauso17.docx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(3) Tài liệu chứng minh về người đứng đầu cơ sở in, có mặt bằng sản xuất và thiết bị để thực hiện một trong các công đoạn chế bản in, in và gia công sau in xuất bản phẩm: + Đối với người đứng đầu cơ sở in xuất bản phẩm: Là người đại diện theo pháp luật được ghi tại một trong các loại giấy chứng nhận đăng ký kinh doanh, giấy chứng nhận đăng ký doanh nghiệp, giấy chứng nhận đầu tư, quyết định thành lập của cơ quan có thẩm quyền; + Đối với tài liệu chứng minh về mặt bằng sản xuất: Bản sao giấy chứng nhận quyền sử dụng đất hoặc hợp đồng hay các loại giấy tờ khác chứng minh về việc giao đất, thuê đất, thuê mặt bằng, nhà xưởng để sản xuất; + Đối với tài liệu chứng minh về thiết bị: Phải là bản sao giấy tờ sở hữu hoặc thuê mua thiết bị; trường hợp chưa có thiết bị, trong hồ sơ đề nghị cấp giấy phép phải kèm theo danh mục thiết bị dự kiến đầu tư. Trong thời hạn 06 tháng, kể từ ngày được cấp giấy phép hoạt động in xuất bản phẩm, cơ sở in phải hoàn thành việc mua hoặc thuê mua đủ thiết bị theo danh mục dự kiến đầu tư, gửi bản sao chứng từ mua, thuê mua thiết bị cho cơ quan cấp giấy phép hoạt động in xuất bản phẩm.</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(4) Sơ yếu lý lịch của người đứng đầu cơ sở in theo mẫu số 06 tại Phụ lục kèm theo Thông tư số 23/2023/TT-BTTTT;</w:t>
            </w:r>
          </w:p>
        </w:tc>
        <w:tc>
          <w:p/>
          <w:p>
            <w:pPr>
              <w:spacing w:after="0" w:before="0" w:lineRule="auto" w:line="276"/>
              <w:jc w:val="left"/>
            </w:pPr>
            <w:r>
              <w:rPr>
                <w:rFonts w:ascii="Times New Roman" w:hAnsi="Times New Roman" w:cs="Times New Roman" w:eastAsia="Times New Roman"/>
                <w:b w:val="false"/>
                <w:sz w:val="26"/>
              </w:rPr>
              <w:t>Mus06-Syullch.doc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(5) Bản sao văn bằng do cơ sở đào tạo chuyên ngành in cấp hoặc bản sao giấy chứng nhận bồi dưỡng nghiệp vụ quản lý hoạt động in xuất bản phẩm do cơ quan nhà nước có thẩm quyền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(6) Bản sao giấy chứng nhận đủ điều kiện an ninh - trật tự do cơ quan nhà nước có thẩm quyền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(2) Bản sao một trong các loại giấy: Giấy chứng nhận đầu tư hoặc quyết định thành lập cơ sở in còn hiệu lực tính đến thời điểm nộp đơn; Trường hợp tổ chức sử dụng thông tin Giấy chứng nhận đăng ký hộ kinh doanh/giấy chứng nhận đăng ký doanh nghiệp thì được tra cứu, tích hợp thông tin từ Cơ sở dữ liệu quốc gia về đăng ký kinh doanh (không phải nộp bản sao nếu đã có thông tin dữ liệu)..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Tổ chức (không bao gồm doanh nghiệp, HTX),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Điểm Phục vụ hành chính công cấp xã, Trung tâm Phục vụ hành chính công - các chi nhánh</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phép hoạt động in xuất bản phẩm.</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150/2018/NĐ-CP</w:t>
            </w:r>
          </w:p>
        </w:tc>
        <w:tc>
          <w:p/>
          <w:p>
            <w:pPr>
              <w:spacing w:after="0" w:before="0" w:lineRule="auto" w:line="276"/>
              <w:jc w:val="left"/>
            </w:pPr>
            <w:r>
              <w:rPr>
                <w:rFonts w:ascii="Times New Roman" w:hAnsi="Times New Roman" w:cs="Times New Roman" w:eastAsia="Times New Roman"/>
                <w:b w:val="false"/>
                <w:sz w:val="26"/>
              </w:rPr>
              <w:t>Nghị định 150/2018/NĐ-CP</w:t>
            </w:r>
          </w:p>
        </w:tc>
        <w:tc>
          <w:p/>
          <w:p>
            <w:pPr>
              <w:spacing w:after="0" w:before="0" w:lineRule="auto" w:line="276"/>
              <w:jc w:val="left"/>
            </w:pPr>
            <w:r>
              <w:rPr>
                <w:rFonts w:ascii="Times New Roman" w:hAnsi="Times New Roman" w:cs="Times New Roman" w:eastAsia="Times New Roman"/>
                <w:b w:val="false"/>
                <w:sz w:val="26"/>
              </w:rPr>
              <w:t>07-11-2018</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 xml:space="preserve"> 19/2012/QH13</w:t>
            </w:r>
          </w:p>
        </w:tc>
        <w:tc>
          <w:p/>
          <w:p>
            <w:pPr>
              <w:spacing w:after="0" w:before="0" w:lineRule="auto" w:line="276"/>
              <w:jc w:val="left"/>
            </w:pPr>
            <w:r>
              <w:rPr>
                <w:rFonts w:ascii="Times New Roman" w:hAnsi="Times New Roman" w:cs="Times New Roman" w:eastAsia="Times New Roman"/>
                <w:b w:val="false"/>
                <w:sz w:val="26"/>
              </w:rPr>
              <w:t>Luật 19/2012/QH13</w:t>
            </w:r>
          </w:p>
        </w:tc>
        <w:tc>
          <w:p/>
          <w:p>
            <w:pPr>
              <w:spacing w:after="0" w:before="0" w:lineRule="auto" w:line="276"/>
              <w:jc w:val="left"/>
            </w:pPr>
            <w:r>
              <w:rPr>
                <w:rFonts w:ascii="Times New Roman" w:hAnsi="Times New Roman" w:cs="Times New Roman" w:eastAsia="Times New Roman"/>
                <w:b w:val="false"/>
                <w:sz w:val="26"/>
              </w:rPr>
              <w:t>20-11-2012</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195/2013/NĐ-CP</w:t>
            </w:r>
          </w:p>
        </w:tc>
        <w:tc>
          <w:p/>
          <w:p>
            <w:pPr>
              <w:spacing w:after="0" w:before="0" w:lineRule="auto" w:line="276"/>
              <w:jc w:val="left"/>
            </w:pPr>
            <w:r>
              <w:rPr>
                <w:rFonts w:ascii="Times New Roman" w:hAnsi="Times New Roman" w:cs="Times New Roman" w:eastAsia="Times New Roman"/>
                <w:b w:val="false"/>
                <w:sz w:val="26"/>
              </w:rPr>
              <w:t>Nghị định 195/2013/NĐ-CP</w:t>
            </w:r>
          </w:p>
        </w:tc>
        <w:tc>
          <w:p/>
          <w:p>
            <w:pPr>
              <w:spacing w:after="0" w:before="0" w:lineRule="auto" w:line="276"/>
              <w:jc w:val="left"/>
            </w:pPr>
            <w:r>
              <w:rPr>
                <w:rFonts w:ascii="Times New Roman" w:hAnsi="Times New Roman" w:cs="Times New Roman" w:eastAsia="Times New Roman"/>
                <w:b w:val="false"/>
                <w:sz w:val="26"/>
              </w:rPr>
              <w:t>21-11-2013</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01/2020/TT-BTTTT</w:t>
            </w:r>
          </w:p>
        </w:tc>
        <w:tc>
          <w:p/>
          <w:p>
            <w:pPr>
              <w:spacing w:after="0" w:before="0" w:lineRule="auto" w:line="276"/>
              <w:jc w:val="left"/>
            </w:pPr>
            <w:r>
              <w:rPr>
                <w:rFonts w:ascii="Times New Roman" w:hAnsi="Times New Roman" w:cs="Times New Roman" w:eastAsia="Times New Roman"/>
                <w:b w:val="false"/>
                <w:sz w:val="26"/>
              </w:rPr>
              <w:t>Thông tư 01/2020/TT-BTTTT</w:t>
            </w:r>
          </w:p>
        </w:tc>
        <w:tc>
          <w:p/>
          <w:p>
            <w:pPr>
              <w:spacing w:after="0" w:before="0" w:lineRule="auto" w:line="276"/>
              <w:jc w:val="left"/>
            </w:pPr>
            <w:r>
              <w:rPr>
                <w:rFonts w:ascii="Times New Roman" w:hAnsi="Times New Roman" w:cs="Times New Roman" w:eastAsia="Times New Roman"/>
                <w:b w:val="false"/>
                <w:sz w:val="26"/>
              </w:rPr>
              <w:t>07-02-2020</w:t>
            </w:r>
          </w:p>
        </w:tc>
        <w:tc>
          <w:p/>
        </w:tc>
      </w:tr>
      <w:tr>
        <w:tc>
          <w:p/>
          <w:p>
            <w:pPr>
              <w:spacing w:after="0" w:before="0" w:lineRule="auto" w:line="276"/>
              <w:jc w:val="left"/>
            </w:pPr>
            <w:r>
              <w:rPr>
                <w:rFonts w:ascii="Times New Roman" w:hAnsi="Times New Roman" w:cs="Times New Roman" w:eastAsia="Times New Roman"/>
                <w:b w:val="false"/>
                <w:sz w:val="26"/>
              </w:rPr>
              <w:t>35/2018/QH14</w:t>
            </w:r>
          </w:p>
        </w:tc>
        <w:tc>
          <w:p/>
          <w:p>
            <w:pPr>
              <w:spacing w:after="0" w:before="0" w:lineRule="auto" w:line="276"/>
              <w:jc w:val="left"/>
            </w:pPr>
            <w:r>
              <w:rPr>
                <w:rFonts w:ascii="Times New Roman" w:hAnsi="Times New Roman" w:cs="Times New Roman" w:eastAsia="Times New Roman"/>
                <w:b w:val="false"/>
                <w:sz w:val="26"/>
              </w:rPr>
              <w:t>Luật 35/2018/QH14</w:t>
            </w:r>
          </w:p>
        </w:tc>
        <w:tc>
          <w:p/>
          <w:p>
            <w:pPr>
              <w:spacing w:after="0" w:before="0" w:lineRule="auto" w:line="276"/>
              <w:jc w:val="left"/>
            </w:pPr>
            <w:r>
              <w:rPr>
                <w:rFonts w:ascii="Times New Roman" w:hAnsi="Times New Roman" w:cs="Times New Roman" w:eastAsia="Times New Roman"/>
                <w:b w:val="false"/>
                <w:sz w:val="26"/>
              </w:rPr>
              <w:t>20-11-2018</w:t>
            </w:r>
          </w:p>
        </w:tc>
        <w:tc>
          <w:p/>
        </w:tc>
      </w:tr>
      <w:tr>
        <w:tc>
          <w:p/>
          <w:p>
            <w:pPr>
              <w:spacing w:after="0" w:before="0" w:lineRule="auto" w:line="276"/>
              <w:jc w:val="left"/>
            </w:pPr>
            <w:r>
              <w:rPr>
                <w:rFonts w:ascii="Times New Roman" w:hAnsi="Times New Roman" w:cs="Times New Roman" w:eastAsia="Times New Roman"/>
                <w:b w:val="false"/>
                <w:sz w:val="26"/>
              </w:rPr>
              <w:t>23/2023/TT-BTTTT</w:t>
            </w:r>
          </w:p>
        </w:tc>
        <w:tc>
          <w:p/>
          <w:p>
            <w:pPr>
              <w:spacing w:after="0" w:before="0" w:lineRule="auto" w:line="276"/>
              <w:jc w:val="left"/>
            </w:pPr>
            <w:r>
              <w:rPr>
                <w:rFonts w:ascii="Times New Roman" w:hAnsi="Times New Roman" w:cs="Times New Roman" w:eastAsia="Times New Roman"/>
                <w:b w:val="false"/>
                <w:sz w:val="26"/>
              </w:rPr>
              <w:t>Thông tư sửa đổi, bổ sung một số điều của Thông tư số 01/2020/TT-BTTTT ngày 07 tháng 02 năm 2020 của Bộ trưởng Bộ Thông tin và Truyền thông quy định chi tiết và hướng dẫn thi hành một số điều của Luật Xuất bản và Nghị định số 195/2013/NĐ-CP ngày 21 tháng 11 năm 2013 của Chính phủ quy định chi tiết một số điều và biện pháp thi hành Luật Xuất bản</w:t>
            </w:r>
          </w:p>
        </w:tc>
        <w:tc>
          <w:p/>
          <w:p>
            <w:pPr>
              <w:spacing w:after="0" w:before="0" w:lineRule="auto" w:line="276"/>
              <w:jc w:val="left"/>
            </w:pPr>
            <w:r>
              <w:rPr>
                <w:rFonts w:ascii="Times New Roman" w:hAnsi="Times New Roman" w:cs="Times New Roman" w:eastAsia="Times New Roman"/>
                <w:b w:val="false"/>
                <w:sz w:val="26"/>
              </w:rPr>
              <w:t>31-12-2023</w:t>
            </w:r>
          </w:p>
        </w:tc>
        <w:tc>
          <w:p/>
          <w:p>
            <w:pPr>
              <w:spacing w:after="0" w:before="0" w:lineRule="auto" w:line="276"/>
              <w:jc w:val="left"/>
            </w:pPr>
            <w:r>
              <w:rPr>
                <w:rFonts w:ascii="Times New Roman" w:hAnsi="Times New Roman" w:cs="Times New Roman" w:eastAsia="Times New Roman"/>
                <w:b w:val="false"/>
                <w:sz w:val="26"/>
              </w:rPr>
              <w:t>Bộ Khoa học và Công nghệ ( Bộ TTTT cũ)</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Cơ sở in được cấp giấy phép hoạt động in xuất bản phẩm (bao gồm các công đoạn chế bản, in, gia công sau in) khi có đủ các điều kiện sau đây:
(1) Chủ sở hữu là tổ chức, cá nhân Việt Nam;
(2) Người đứng đầu cơ sở in phải là công dân Việt Nam, thường trú tại Việt Nam, có nghiệp vụ quản lý hoạt động in xuất bản phẩm và đáp ứng các tiêu chuẩn khác theo quy định của pháp luật;
(3) Có mặt bằng sản xuất, thiết bị để thực hiện một hoặc các công đoạn chế bản, in và gia công sau in xuất bản phẩm;
(4) Bảo đảm các điều kiện về an ninh, trật tự;
(5) Phù hợp với quy hoạch phát triển mạng lưới cơ sở báo chí, phát thanh, truyền hình, thông tin điện tử, cơ sở xuất bản và quy hoạch khác có liên quan theo quy định của pháp luật về quy hoạch.</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2026-05-17T07:56:09Z</dcterms:created>
  <dc:creator>Apache POI</dc:creator>
</cp:coreProperties>
</file>