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1.013040.000.00.00.H32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433/QĐ-UBND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khai, nộp phí bảo vệ môi trường đối với khí thải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lý thuế, phí, lệ phí và thu khác của ngân sách nhà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Tại Sở Tài nguyên và Môi trường hoặc Phòng Tài nguyên và Môi trường (sau đây gọi chung là tổ chức thu phí)
a) Cơ sở xả khí thải thuộc đối tượng phải quan trắc khí thải: Hằng quý, chậm nhất là ngày 20 của tháng đầu tiên của quý tiếp theo, người nộp phí lập Tờ khai nộp phí bảo vệ môi trường đối với khí thải (sau đây gọi chung là Tờ khai phí), gửi hồ sơ cho tổ chức thu phí, nộp phí theo quy định. 
b) Cơ sở xả khí thải không thuộc đối tượng phải quan trắc khí thải:
Trường hợp cơ sở xả khí thải mới đi vào hoạt động từ ngày Nghị định số 153/2024/NĐ-CP có hiệu lực thi hành: Chậm nhất là ngày 20 của tháng tiếp theo của tháng bắt đầu đi vào hoạt động, người nộp phí lập Tờ khai phí, gửi hồ sơ cho tổ chức thu phí, nộp phí theo quy định. Số phí phải nộp được tính cho thời gian từ tháng tiếp theo của tháng bắt đầu đi vào hoạt động đến hết năm dương lịch (hết ngày 31 tháng 12 của năm bắt đầu hoạt động). Từ năm tiếp theo, người nộp phí nộp phí một lần cho cả năm, thời hạn nộp phí chậm nhất là ngày 31 tháng 01 hằng năm.
Trường hợp cơ sở xả khí thải đang hoạt động trước ngày Nghị định số 153/2024/NĐ-CP có hiệu lực thi hành: Chậm nhất là ngày 20 của tháng tiếp theo của tháng Nghị định số 153/2024/NĐ-CP bắt đầu có hiệu lực thi hành, người nộp phí lập Tờ khai phí, gửi hồ sơ cho tổ chức thu phí, nộp phí theo quy định. Số phí phải nộp được tính cho thời gian từ tháng tiếp theo của tháng Nghị định số 153/2024/NĐ-CP bắt đầu có hiệu lực thi hành đến hết năm dương lịch. Từ năm tiếp theo, người nộp phí nộp phí một lần cho cả năm, thời hạn nộp phí chậm nhất là ngày 31 tháng 01 hằng năm.
c) Tổ chức thu phí thực hiện kiểm tra, tiếp nhận và thẩm định hồ sơ của người nộp phí. 
Trong thời hạn 30 ngày làm việc, kể từ ngày nhận Tờ khai phí của cơ sở xả khí thải, tổ chức thu phí thực hiện thẩm định Tờ khai phí. Trường hợp số phí phải nộp theo kết quả thẩm định khác với số phí người nộp phí đã kê khai, nộp thì tổ chức thu phí ban hành Thông báo nộp phí bảo vệ môi trường đối với khí thải. Trường hợp số phí phải nộp thấp hơn số phí đã kê khai, nộp thì người nộp phí thực hiện bù trừ số phí nộp thừa vào số phí phải nộp của kỳ sau theo quy định. Trường hợp số phí phải nộp cao hơn số phí đã kê khai, nộp thì người nộp phí phải nộp bổ sung số phí còn thiếu cho tổ chức thu phí.
2. Tại Bộ Công an (hoặc cơ quan được Bộ Công an giao tiếp nhận Tờ khai phí) hoặc Bộ Quốc phòng (hoặc cơ quan được Bộ Quốc phòng giao tiếp nhận Tờ khai phí)
a) Người nộp phí lập Tờ khai phí, gửi hồ sơ cho Bộ Công an, Bộ Quốc phòng (hoặc cơ quan được Bộ Công an, Bộ Quốc phòng giao tiếp nhận Tờ khai phí) theo quy định tại điểm a, điểm b mục 1 nêu trên.
b) Bộ Công an, Bộ Quốc phòng (hoặc cơ quan được Bộ Công an, Bộ Quốc phòng giao tiếp nhận Tờ khai phí) thực hiện kiểm tra, tiếp nhận, thẩm định hồ sơ của người nộp phí và gửi Kết quả thẩm định Tờ khai phí cho Sở Tài nguyên và Môi trường nơi cơ sở xả khí thải hoạt động, đồng thời gửi cho cơ sở xả khí thải để thực hiện nộp phí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trực tiếp tại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trực tiếp tại Bộ Công an (hoặc cơ quan được Bộ Công an giao tiếp nhận Tờ khai phí) hoặc Bộ Quốc phòng (hoặc cơ quan được Bộ Quốc phòng giao tiếp nhận Tờ khai phí).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môi trường điện tử trong trường hợp cơ sở hạ tầng kỹ thuật cho phép và đáp ứng các quy định của pháp luật liên quan đến giao dịch điện tử, chữ ký số, văn bản điện tử cho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môi trường điện tử trong trường hợp cơ sở hạ tầng kỹ thuật cho phép và đáp ứng các quy định của pháp luật liên quan đến giao dịch điện tử, chữ ký số, văn bản điện tử cho Bộ Công an (hoặc cơ quan được Bộ Công an giao tiếp nhận Tờ khai phí) hoặc Bộ Quốc phòng (hoặc cơ quan được Bộ Quốc phòng giao tiếp nhận Tờ khai phí).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bưu chính cho Sở Tài nguyên và Môi trường hoặc Phòng Tài nguyên và Môi trường.</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nộp phí nộp hồ sơ qua bưu chính cho Bộ Công an (hoặc cơ quan được Bộ Công an giao tiếp nhận Tờ khai phí) hoặc Bộ Quốc phòng (hoặc cơ quan được Bộ Quốc phòng giao tiếp nhận Tờ khai phí).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nộp phí bảo vệ môi trường đối với khí thải theo Mẫu số 01 tại Phụ lục ban hành kèm theo Nghị định số 153/2024/NĐ-CP.</w:t>
            </w:r>
          </w:p>
        </w:tc>
        <w:tc>
          <w:p/>
          <w:p>
            <w:pPr>
              <w:spacing w:after="0" w:before="0" w:lineRule="auto" w:line="276"/>
              <w:jc w:val="left"/>
            </w:pPr>
            <w:r>
              <w:rPr>
                <w:rFonts w:ascii="Times New Roman" w:hAnsi="Times New Roman" w:cs="Times New Roman" w:eastAsia="Times New Roman"/>
                <w:b w:val="false"/>
                <w:sz w:val="26"/>
              </w:rPr>
              <w:t>Mauso01.docx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Nông nghiệp và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Các cơ sở xả khí thải thực hiện nộp hồ sơ tại Trung tâm phục vụ hành chính công tỉnh (Quầy Sở Nông nghiệp và Môi trường) hoặc 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nộp phí bảo vệ môi trường đối với khí thải theo Mẫu số 02 tại Phụ lục ban hành kèm theo Nghị định số 153/2024/NĐ-CP (được sửa đổi, bổ sung bởi điểm d khoản 3 Điều 6 Nghị định số 362/2025/NĐ-CP), Kết quả thẩm định Tờ khai nộp phí bảo vệ môi trường đối với khí thải theo Mẫu số 03 tại Phụ lục ban hành kèm theo Nghị định số 153/2024/NĐ-CP (được sửa đổi, bổ sung bởi điểm d khoản 3 Điều 6 Nghị định số 362/2025/NĐ-CP)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38/2019/QH14</w:t>
            </w:r>
          </w:p>
        </w:tc>
        <w:tc>
          <w:p/>
          <w:p>
            <w:pPr>
              <w:spacing w:after="0" w:before="0" w:lineRule="auto" w:line="276"/>
              <w:jc w:val="left"/>
            </w:pPr>
            <w:r>
              <w:rPr>
                <w:rFonts w:ascii="Times New Roman" w:hAnsi="Times New Roman" w:cs="Times New Roman" w:eastAsia="Times New Roman"/>
                <w:b w:val="false"/>
                <w:sz w:val="26"/>
              </w:rPr>
              <w:t>Luật Quản lý thuế</w:t>
            </w:r>
          </w:p>
        </w:tc>
        <w:tc>
          <w:p/>
          <w:p>
            <w:pPr>
              <w:spacing w:after="0" w:before="0" w:lineRule="auto" w:line="276"/>
              <w:jc w:val="left"/>
            </w:pPr>
            <w:r>
              <w:rPr>
                <w:rFonts w:ascii="Times New Roman" w:hAnsi="Times New Roman" w:cs="Times New Roman" w:eastAsia="Times New Roman"/>
                <w:b w:val="false"/>
                <w:sz w:val="26"/>
              </w:rPr>
              <w:t>13-06-2019</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72/2020/QH14</w:t>
            </w:r>
          </w:p>
        </w:tc>
        <w:tc>
          <w:p/>
          <w:p>
            <w:pPr>
              <w:spacing w:after="0" w:before="0" w:lineRule="auto" w:line="276"/>
              <w:jc w:val="left"/>
            </w:pPr>
            <w:r>
              <w:rPr>
                <w:rFonts w:ascii="Times New Roman" w:hAnsi="Times New Roman" w:cs="Times New Roman" w:eastAsia="Times New Roman"/>
                <w:b w:val="false"/>
                <w:sz w:val="26"/>
              </w:rPr>
              <w:t>Luật Bảo vệ môi trường số 72/2020/QH14 ngày 17 tháng 11 năm 2020</w:t>
            </w:r>
          </w:p>
        </w:tc>
        <w:tc>
          <w:p/>
          <w:p>
            <w:pPr>
              <w:spacing w:after="0" w:before="0" w:lineRule="auto" w:line="276"/>
              <w:jc w:val="left"/>
            </w:pPr>
            <w:r>
              <w:rPr>
                <w:rFonts w:ascii="Times New Roman" w:hAnsi="Times New Roman" w:cs="Times New Roman" w:eastAsia="Times New Roman"/>
                <w:b w:val="false"/>
                <w:sz w:val="26"/>
              </w:rPr>
              <w:t>17-11-2020</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83/2015/QH13</w:t>
            </w:r>
          </w:p>
        </w:tc>
        <w:tc>
          <w:p/>
          <w:p>
            <w:pPr>
              <w:spacing w:after="0" w:before="0" w:lineRule="auto" w:line="276"/>
              <w:jc w:val="left"/>
            </w:pPr>
            <w:r>
              <w:rPr>
                <w:rFonts w:ascii="Times New Roman" w:hAnsi="Times New Roman" w:cs="Times New Roman" w:eastAsia="Times New Roman"/>
                <w:b w:val="false"/>
                <w:sz w:val="26"/>
              </w:rPr>
              <w:t>LUẬT NGÂN SÁCH NHÀ NƯỚC</w:t>
            </w:r>
          </w:p>
        </w:tc>
        <w:tc>
          <w:p/>
          <w:p>
            <w:pPr>
              <w:spacing w:after="0" w:before="0" w:lineRule="auto" w:line="276"/>
              <w:jc w:val="left"/>
            </w:pPr>
            <w:r>
              <w:rPr>
                <w:rFonts w:ascii="Times New Roman" w:hAnsi="Times New Roman" w:cs="Times New Roman" w:eastAsia="Times New Roman"/>
                <w:b w:val="false"/>
                <w:sz w:val="26"/>
              </w:rPr>
              <w:t>25-06-2015</w:t>
            </w:r>
          </w:p>
        </w:tc>
        <w:tc>
          <w:p/>
        </w:tc>
      </w:tr>
      <w:tr>
        <w:tc>
          <w:p/>
          <w:p>
            <w:pPr>
              <w:spacing w:after="0" w:before="0" w:lineRule="auto" w:line="276"/>
              <w:jc w:val="left"/>
            </w:pPr>
            <w:r>
              <w:rPr>
                <w:rFonts w:ascii="Times New Roman" w:hAnsi="Times New Roman" w:cs="Times New Roman" w:eastAsia="Times New Roman"/>
                <w:b w:val="false"/>
                <w:sz w:val="26"/>
              </w:rPr>
              <w:t>153/2024/NĐ-CP</w:t>
            </w:r>
          </w:p>
        </w:tc>
        <w:tc>
          <w:p/>
          <w:p>
            <w:pPr>
              <w:spacing w:after="0" w:before="0" w:lineRule="auto" w:line="276"/>
              <w:jc w:val="left"/>
            </w:pPr>
            <w:r>
              <w:rPr>
                <w:rFonts w:ascii="Times New Roman" w:hAnsi="Times New Roman" w:cs="Times New Roman" w:eastAsia="Times New Roman"/>
                <w:b w:val="false"/>
                <w:sz w:val="26"/>
              </w:rPr>
              <w:t>Nghị định số 153/2024/NĐ-CP ngày 21/11/2024 của Chính phủ quy định phí bảo vệ môi trường đối với khí thải</w:t>
            </w:r>
          </w:p>
        </w:tc>
        <w:tc>
          <w:p/>
          <w:p>
            <w:pPr>
              <w:spacing w:after="0" w:before="0" w:lineRule="auto" w:line="276"/>
              <w:jc w:val="left"/>
            </w:pPr>
            <w:r>
              <w:rPr>
                <w:rFonts w:ascii="Times New Roman" w:hAnsi="Times New Roman" w:cs="Times New Roman" w:eastAsia="Times New Roman"/>
                <w:b w:val="false"/>
                <w:sz w:val="26"/>
              </w:rPr>
              <w:t>21-12-2024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xả khí thải thuộc đối tượng chịu phí bảo vệ môi trường đối với khí thải theo quy định tại Nghị định số 153/2024/NĐ-CP phải có giấy phép môi trường theo quy định của pháp luật về bảo vệ môi trường, trong đó có nội dung cấp phép về xả khí thải.</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2026-05-26T20:04:00Z</dcterms:created>
  <dc:creator>Apache POI</dc:creator>
</cp:coreProperties>
</file>