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Hợp nhất, sáp nhập, chia, tách, mở rộng phạm vi hoạt động quỹ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Quỹ gửi hồ sơ đến Ủy ban nhân dân cấp tỉnh đề nghị hợp nhất, sáp nhập, chia, tách, mở rộng phạm vi hoạt động quỹ.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tỉnh quyết định cho phép hợp nhất, sáp nhập, chia, tách, mở rộng phạm vi hoạt động quỹ.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cho phép hợp nhất, sáp nhập, chia, tách quỹ.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cho phép mở rộng phạm vi hoạt động của quỹ.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cho phép hợp nhất, sáp nhập, chia, tách quỹ.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cho phép mở rộng phạm vi hoạt động của quỹ.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cho phép hợp nhất, sáp nhập, chia, tách quỹ.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cho phép mở rộng phạm vi hoạt động của quỹ.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hợp nhất, sáp nhập, chia, tách quỹ: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hợp nhất, sáp nhập, chia, tách quỹ, trong đó nêu rõ lý do và tên gọi mới của quỹ (theo mẫu).,</w:t>
            </w:r>
          </w:p>
        </w:tc>
        <w:tc>
          <w:p/>
          <w:p>
            <w:pPr>
              <w:spacing w:after="0" w:before="0" w:lineRule="auto" w:line="276"/>
              <w:jc w:val="left"/>
            </w:pPr>
            <w:r>
              <w:rPr>
                <w:rFonts w:ascii="Times New Roman" w:hAnsi="Times New Roman" w:cs="Times New Roman" w:eastAsia="Times New Roman"/>
                <w:b w:val="false"/>
                <w:sz w:val="26"/>
              </w:rPr>
              <w:t>Mauso15.docx</w:t>
            </w:r>
          </w:p>
          <w:p>
            <w:pPr>
              <w:spacing w:after="0" w:before="0" w:lineRule="auto" w:line="276"/>
              <w:jc w:val="left"/>
            </w:pPr>
            <w:r>
              <w:rPr>
                <w:rFonts w:ascii="Times New Roman" w:hAnsi="Times New Roman" w:cs="Times New Roman" w:eastAsia="Times New Roman"/>
                <w:b w:val="false"/>
                <w:sz w:val="26"/>
              </w:rPr>
              <w:t>Mauso12.docx</w:t>
            </w:r>
          </w:p>
          <w:p>
            <w:pPr>
              <w:spacing w:after="0" w:before="0" w:lineRule="auto" w:line="276"/>
              <w:jc w:val="left"/>
            </w:pPr>
            <w:r>
              <w:rPr>
                <w:rFonts w:ascii="Times New Roman" w:hAnsi="Times New Roman" w:cs="Times New Roman" w:eastAsia="Times New Roman"/>
                <w:b w:val="false"/>
                <w:sz w:val="26"/>
              </w:rPr>
              <w:t>Mauso13.docx</w:t>
            </w:r>
          </w:p>
          <w:p>
            <w:pPr>
              <w:spacing w:after="0" w:before="0" w:lineRule="auto" w:line="276"/>
              <w:jc w:val="left"/>
            </w:pPr>
            <w:r>
              <w:rPr>
                <w:rFonts w:ascii="Times New Roman" w:hAnsi="Times New Roman" w:cs="Times New Roman" w:eastAsia="Times New Roman"/>
                <w:b w:val="false"/>
                <w:sz w:val="26"/>
              </w:rPr>
              <w:t>Mauso14.docx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quỹ (theo mẫu).,</w:t>
            </w:r>
          </w:p>
        </w:tc>
        <w:tc>
          <w:p/>
          <w:p>
            <w:pPr>
              <w:spacing w:after="0" w:before="0" w:lineRule="auto" w:line="276"/>
              <w:jc w:val="left"/>
            </w:pPr>
            <w:r>
              <w:rPr>
                <w:rFonts w:ascii="Times New Roman" w:hAnsi="Times New Roman" w:cs="Times New Roman" w:eastAsia="Times New Roman"/>
                <w:b w:val="false"/>
                <w:sz w:val="26"/>
              </w:rPr>
              <w:t>Mauso02.docx</w:t>
            </w:r>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về việc hợp nhất, sáp nhập, chia, tách quỹ; ý kiến đồng ý bằng văn bản của sáng lập viên hoặc người đại diện hợp pháp của sáng lập viên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nhân sự Hội đồng quản lý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giải quyết tài sản, tài chính, lao động khi hợp nhất, sáp nhập, chia, tách quỹ.,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đề nghị mở rộng phạm vi hoạt động quỹ:</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mở rộng phạm vi hoạt động (theo mẫu).,</w:t>
            </w:r>
          </w:p>
        </w:tc>
        <w:tc>
          <w:p/>
          <w:p>
            <w:pPr>
              <w:spacing w:after="0" w:before="0" w:lineRule="auto" w:line="276"/>
              <w:jc w:val="left"/>
            </w:pPr>
            <w:r>
              <w:rPr>
                <w:rFonts w:ascii="Times New Roman" w:hAnsi="Times New Roman" w:cs="Times New Roman" w:eastAsia="Times New Roman"/>
                <w:b w:val="false"/>
                <w:sz w:val="26"/>
              </w:rPr>
              <w:t>Mauso08.docx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Ban sáng lập quỹ; Nghị quyết của Hội đồng quản lý quỹ về việc mở rộng phạm vi hoạt động của quỹ.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tài sản đóng góp đảm bảo theo quy định tại Điều 14 Nghị định số 93/2019/NĐ-CP.,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về quá trình tổ chức, hoạt động của quỹ và phương hướng hoạt động của quỹ khi được mở rộng phạm vi hoạt động; báo cáo về quản lý, sử dụng tài sản, tài chính của quỹ; báo cáo kiểm toán (nếu có) về quản lý, sử dụng tài sản, tài chính của quỹ; phương án giải quyết tài sản, tài chính, lao động khi mở rộng phạm vi hoạt động của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bổ sung sáng lập viên thành lập quỹ: hồ sơ theo Điều 11 Nghị định số 93/2019/NĐ-CP và khoản 5 Điều 1 Nghị định số 136/2024/NĐ-CP, sơ yếu lý lịch cá nhân (theo mẫu kèm theo Nghị định số 136/2024/NĐ-CP) và phiếu lý lịch tư pháp số 01 do cơ quan có thẩm quyền cấp cho các sáng lập viên thành lập quỹ không quá 06 tháng tính đến ngày nộp hồ sơ; nếu sáng lập viên là cán bộ, công chức, viên chức được cơ quan có thẩm quyền đồng ý bằng văn bản theo quy định về phân cấp quản lý cán bộ thì không cần phiếu lý lịch tư pháp số 01,</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có sự thay đổi về địa giới hành chính: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đề nghị hợp nhất, sáp nhập, chia, tách, mở rộng phạm vi hoạt động quỹ thực hiện như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hợp nhất, sáp nhập, chia, tách, mở rộng phạm vi hoạt động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số 93/2019/NĐ-CP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Các quỹ hợp nhất, quỹ được sáp nhập, quỹ bị chia chấm dứt tồn tại và hoạt động sau khi có quyết định của cơ quan nhà nước có thẩm quyền cho phép hợp nhất, sáp nhập và chia quỹ. Quyền và nghĩa vụ của các quỹ hợp nhất, quỹ được sáp nhập, quỹ bị chia được chuyển giao cho các quỹ mới và quỹ sáp nhập. Đối với trường hợp tách quỹ, thì quỹ bị tách và quỹ được tách (quỹ thành lập mới) thực hiện quyền, nghĩa vụ phù hợp với mục đích hoạt động của quỹ và phải cùng liên đới chịu trách nhiệm về nghĩa vụ của quỹ trước khi tách.
- Sau khi quỹ được Bộ Nội vụ cho phép mở rộng phạm vi hoạt động phải thực hiện việc công bố việc mở rộng phạm vi hoạt động của quỹ, công nhận quỹ đủ điều kiện hoạt động và công nhận thành viên Hội đồng quản lý quỹ theo quy định tại Điều 22, 24, 25 của Nghị định số 93/2019/NĐ-CP.
- Quỹ hoạt động phạm vi tỉnh khi có sự thay đổi về địa giới hành chính do chia, tách, sáp nhập, hợp nhất, Hội đồng quản lý quỹ xem xét, quyết định chia, tách, sáp nhập, hợp nhất, giải thể cho phù hợp với đơn vị hành chính mới, gửi hồ sơ về cơ quan nhà nước có thẩm quyền của đơn vị hành chính mới theo quy định tại khoản 8 Điều 1 Nghị định này số 136/2024/NĐ-CP. 
- Điều kiện mở rộng phạm vi hoạt động của quỹ: Không làm thay đổi về tôn chỉ, mục đích, lĩnh vực hoạt động chính của quỹ; bảo đảm các điều kiện về tên; tài sản, tài chính; sáng lập viên theo quy định tại Nghị định số 93/2019/NĐ-CP.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2026-05-05T15:53:23Z</dcterms:created>
  <dc:creator>Apache POI</dc:creator>
</cp:coreProperties>
</file>