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(nếu đề nghị thành lập trường tiểu học công lập); tổ chức, cá nhân (nếu đề nghị cho phép thành lập trường tiểu học tư thục) gửi 01 bộ hồ sơ quy định tại khoản 2 Điều 16 Nghị định số 125/2024/NĐ-CP qua cổng dịch vụ công trực tuyến hoặc bưu chính hoặc trực tiếp đến Ủy ban nhân dân cấp huyện.
Trường hợp trường tiểu học chuyển địa điểm hoạt động giáo dục thì phải đáp ứng các điều kiện và thực hiện thủ tục thành lập hoặc cho phép thành lập trường tiểu học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huyện thông báo bằng văn bản những nội dung cần chỉnh sửa, bổ sung cho cơ quan, tổ chức, cá nhân; nếu hồ sơ hợp lệ, Ủy ban nhân dân cấp huyện chỉ đạo Phòng Giáo dục và Đào tạo tổ chức thẩm định các điều kiện thành lập hoặc cho phép thành lập trường tiểu học.</w:t>
      </w:r>
    </w:p>
    <w:p>
      <w:pPr>
        <w:spacing w:after="0" w:before="0" w:lineRule="auto" w:line="276"/>
        <w:jc w:val="both"/>
      </w:pPr>
      <w:r>
        <w:rPr>
          <w:rFonts w:ascii="Times New Roman" w:hAnsi="Times New Roman" w:cs="Times New Roman" w:eastAsia="Times New Roman"/>
          <w:b w:val="false"/>
          <w:sz w:val="26"/>
        </w:rPr>
        <w:t>c) Trong thời hạn 15 ngày, kể từ ngày nhận đủ hồ sơ hợp lệ, Phòng Giáo dục và Đào tạo chủ trì, phối hợp với các phòng chuyên môn có liên quan thẩm định các điều kiện thành lập hoặc cho phép thành lập trường tiểu học tại hồ sơ; lập báo cáo thẩm định để đánh giá tình hình đáp ứng các quy định tại Điều 15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2026-05-25T21:24:37Z</dcterms:created>
  <dc:creator>Apache POI</dc:creator>
</cp:coreProperties>
</file>