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phổ thông chuyên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thành lập hoặc cho phép thành lập trường trung học phổ thông chuyên được thực hiện như đối với trường trung học:</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w:t>
      </w:r>
    </w:p>
    <w:p>
      <w:pPr>
        <w:spacing w:after="0" w:before="0" w:lineRule="auto" w:line="276"/>
        <w:jc w:val="both"/>
      </w:pPr>
      <w:r>
        <w:rPr>
          <w:rFonts w:ascii="Times New Roman" w:hAnsi="Times New Roman" w:cs="Times New Roman" w:eastAsia="Times New Roman"/>
          <w:b w:val="false"/>
          <w:sz w:val="26"/>
        </w:rPr>
        <w:t>d) Trên cơ sở báo cáo thẩm định của Sở Giáo dục và Đào tạo, Chủ tịch Ủy ban nhân dân tỉnh quyết định việc thành lập hoặc cho phép thành lập trường trung học phổ thông chuyên nếu đủ điều kiện;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phổ thông chuyên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phổ thông chuyên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phổ thông chuyên nếu đủ điều kiện;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(theo Mẫu số 02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trường trung học chuyển địa điểm hoạt động giáo dục thì phải đáp ứng các điều kiện và thực hiện thủ tục thành lập hoặc cho phép thành lập trường trung học, cho phép trường trung học hoạt động giáo dục quy định tại Nghị định này. Trong đề án (theo Mẫu số 02 Phụ lục II kèm theo Nghị định 142/2025/NĐ-CP), trường trung học phải cam kết kế thừa các quyền, nghĩa vụ và trách nhiệm của trường trung học đề nghị chuyển địa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trường trung học phổ thông chuyên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phù hợp với quy hoạch tỉnh và các quy hoạch có liên quan của địa phương nơi trường đặt trụ sở.
b) Đề án thành lập hoặc cho phép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trường nhằm đạt được mục tiêu, nhiệm vụ của trường chuyên.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2026-05-22T22:41:35Z</dcterms:created>
  <dc:creator>Apache POI</dc:creator>
</cp:coreProperties>
</file>