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khác thực hiện nhiệm vụ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khoản 3 Điều 34 Nghị định số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cho nhà trường, tổ chức, cá nhân đề nghị sáp nhập, chia, tách trung tâm. Nếu hồ sơ hợp lệ,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p>
      <w:pPr>
        <w:spacing w:after="0" w:before="0" w:lineRule="auto" w:line="276"/>
        <w:jc w:val="both"/>
      </w:pPr>
      <w:r>
        <w:rPr>
          <w:rFonts w:ascii="Times New Roman" w:hAnsi="Times New Roman" w:cs="Times New Roman" w:eastAsia="Times New Roman"/>
          <w:b w:val="false"/>
          <w:sz w:val="26"/>
        </w:rPr>
        <w:t>Quyết định sáp nhập, chia, tách trung tâm khác thực hiện nhiệm vụ giáo dục thường xuyên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sáp nhập, chia, tách trung tâm.
b) Trường hợp hồ sơ hợp lệ:
- Trong thời hạn 05 ngày làm việc, kể từ ngày nhận đủ hồ sơ, Sở Giáo dục và Đào tạo chủ trì, phối hợp với các cơ quan có liên quan tổ chức thẩm định hồ sơ và thẩm định thực tế các điều kiện sáp nhập, chia, tách trung tâm, lập báo cáo thẩm định để đánh giá tình hình đáp ứng các quy định tại khoản 1 Điều 34 Nghị định số 142/2025/NĐ-CP) trong thời hạn 10 ngày.
-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nhà trường, tổ chức, cá nhân đề nghị sáp nhập, chia, tách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trung tâm (theo Mẫu số 04 Phụ lục 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trung tâm (theo Mẫu số 05 Phụ lục 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được hình thành sau khi sáp nhập, chia, tách phải đáp ứng các điều kiện quy định tại khoản 2 Điều 32 Phụ lục I kèm theo Nghị định 142/2025/NĐ-CP:
 - Có địa điểm, cơ sở vật chất, phòng học, phòng chức năng, thiết bị dạy học đáp ứng yêu cầu của các chương trình giáo dục thường xuyên thực hiện tại trung tâm;
  - Có chương trình giáo dục, tài liệu giảng dạy và học tập đáp ứng yêu cầu của các chương trình giáo dục thường xuyên thực hiện tại trung tâm theo quy định của Bộ Giáo dục và Đào tạo;
  - Có đội ngũ cán bộ quản lý, giáo viên, nhân viên và người lao động đủ về số lượng và đạt tiêu chuẩn đáp ứng yêu cầu của từng chương trình giáo dục thường xuyên thực hiện tại trung tâm theo quy định của Bộ Giáo dục và Đào tạo;
- Có dự thảo quy chế tổ chức và hoạt động của trung tâm.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2026-05-22T22:43:36Z</dcterms:created>
  <dc:creator>Apache POI</dc:creator>
</cp:coreProperties>
</file>